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11F40" w14:textId="77777777" w:rsidR="00F34C3D" w:rsidRPr="0067318C" w:rsidRDefault="00F34C3D" w:rsidP="00EF2489">
      <w:pPr>
        <w:pStyle w:val="APAHeader"/>
        <w:rPr>
          <w:rStyle w:val="PageNumber"/>
          <w:rFonts w:ascii="Times New Roman" w:hAnsi="Times New Roman"/>
          <w:szCs w:val="24"/>
        </w:rPr>
      </w:pPr>
    </w:p>
    <w:p w14:paraId="56C8D80E" w14:textId="77777777" w:rsidR="00EF2489" w:rsidRPr="0067318C" w:rsidRDefault="00EF2489" w:rsidP="00EF2489">
      <w:pPr>
        <w:pStyle w:val="APA"/>
        <w:rPr>
          <w:rFonts w:ascii="Times New Roman" w:hAnsi="Times New Roman"/>
          <w:szCs w:val="24"/>
        </w:rPr>
      </w:pPr>
    </w:p>
    <w:p w14:paraId="721569F3" w14:textId="77777777" w:rsidR="00EF2489" w:rsidRPr="0067318C" w:rsidRDefault="00EF2489" w:rsidP="00EF2489">
      <w:pPr>
        <w:pStyle w:val="APA"/>
        <w:rPr>
          <w:rFonts w:ascii="Times New Roman" w:hAnsi="Times New Roman"/>
          <w:szCs w:val="24"/>
        </w:rPr>
      </w:pPr>
    </w:p>
    <w:p w14:paraId="3A8E7974" w14:textId="77777777" w:rsidR="00EF2489" w:rsidRPr="0067318C" w:rsidRDefault="00EF2489" w:rsidP="00EF2489">
      <w:pPr>
        <w:pStyle w:val="APA"/>
        <w:rPr>
          <w:rFonts w:ascii="Times New Roman" w:hAnsi="Times New Roman"/>
          <w:szCs w:val="24"/>
        </w:rPr>
      </w:pPr>
    </w:p>
    <w:p w14:paraId="06D61975" w14:textId="77777777" w:rsidR="00EF2489" w:rsidRPr="0067318C" w:rsidRDefault="00EF2489" w:rsidP="00EF2489">
      <w:pPr>
        <w:pStyle w:val="APA"/>
        <w:rPr>
          <w:rFonts w:ascii="Times New Roman" w:hAnsi="Times New Roman"/>
          <w:szCs w:val="24"/>
        </w:rPr>
      </w:pPr>
    </w:p>
    <w:p w14:paraId="5E9B4776" w14:textId="77777777" w:rsidR="00EF2489" w:rsidRPr="0067318C" w:rsidRDefault="0067318C" w:rsidP="00EF2489">
      <w:pPr>
        <w:pStyle w:val="APAHeader"/>
        <w:rPr>
          <w:rFonts w:ascii="Times New Roman" w:hAnsi="Times New Roman"/>
          <w:szCs w:val="24"/>
        </w:rPr>
      </w:pPr>
      <w:bookmarkStart w:id="0" w:name="bkMainTitle"/>
      <w:r w:rsidRPr="0067318C">
        <w:rPr>
          <w:rFonts w:ascii="Times New Roman" w:hAnsi="Times New Roman"/>
          <w:szCs w:val="24"/>
        </w:rPr>
        <w:t xml:space="preserve">Week Six: </w:t>
      </w:r>
      <w:bookmarkStart w:id="1" w:name="_GoBack"/>
      <w:r w:rsidRPr="0067318C">
        <w:rPr>
          <w:rFonts w:ascii="Times New Roman" w:hAnsi="Times New Roman"/>
          <w:szCs w:val="24"/>
        </w:rPr>
        <w:t>Trends in Adult Learning Settings</w:t>
      </w:r>
      <w:bookmarkEnd w:id="0"/>
    </w:p>
    <w:p w14:paraId="06116F49" w14:textId="77777777" w:rsidR="00EF2489" w:rsidRPr="0067318C" w:rsidRDefault="0067318C" w:rsidP="00EF2489">
      <w:pPr>
        <w:pStyle w:val="APAHeader"/>
        <w:rPr>
          <w:rFonts w:ascii="Times New Roman" w:hAnsi="Times New Roman"/>
          <w:szCs w:val="24"/>
        </w:rPr>
      </w:pPr>
      <w:bookmarkStart w:id="2" w:name="bkMainUserName"/>
      <w:bookmarkEnd w:id="1"/>
      <w:r w:rsidRPr="0067318C">
        <w:rPr>
          <w:rFonts w:ascii="Times New Roman" w:hAnsi="Times New Roman"/>
          <w:szCs w:val="24"/>
        </w:rPr>
        <w:t>Felicia L. Jones-Shaw</w:t>
      </w:r>
      <w:bookmarkEnd w:id="2"/>
    </w:p>
    <w:p w14:paraId="65E6E8D5" w14:textId="77777777" w:rsidR="00EF2489" w:rsidRPr="0067318C" w:rsidRDefault="0067318C" w:rsidP="00EF2489">
      <w:pPr>
        <w:pStyle w:val="APAHeader"/>
        <w:rPr>
          <w:rFonts w:ascii="Times New Roman" w:hAnsi="Times New Roman"/>
          <w:szCs w:val="24"/>
        </w:rPr>
      </w:pPr>
      <w:bookmarkStart w:id="3" w:name="bkCourseNum"/>
      <w:r w:rsidRPr="0067318C">
        <w:rPr>
          <w:rFonts w:ascii="Times New Roman" w:hAnsi="Times New Roman"/>
          <w:szCs w:val="24"/>
        </w:rPr>
        <w:t>AET/500</w:t>
      </w:r>
      <w:bookmarkEnd w:id="3"/>
    </w:p>
    <w:p w14:paraId="667F1EC0" w14:textId="77777777" w:rsidR="00EF2489" w:rsidRPr="0067318C" w:rsidRDefault="0067318C" w:rsidP="00EF2489">
      <w:pPr>
        <w:pStyle w:val="APAHeader"/>
        <w:rPr>
          <w:rFonts w:ascii="Times New Roman" w:hAnsi="Times New Roman"/>
          <w:szCs w:val="24"/>
        </w:rPr>
      </w:pPr>
      <w:bookmarkStart w:id="4" w:name="bkDueDate"/>
      <w:r w:rsidRPr="0067318C">
        <w:rPr>
          <w:rFonts w:ascii="Times New Roman" w:hAnsi="Times New Roman"/>
          <w:szCs w:val="24"/>
        </w:rPr>
        <w:t>July 28, 2014</w:t>
      </w:r>
      <w:bookmarkEnd w:id="4"/>
    </w:p>
    <w:p w14:paraId="35CB90C1" w14:textId="77777777" w:rsidR="00EF2489" w:rsidRPr="0067318C" w:rsidRDefault="0067318C" w:rsidP="00EF2489">
      <w:pPr>
        <w:pStyle w:val="APAHeader"/>
        <w:rPr>
          <w:rFonts w:ascii="Times New Roman" w:hAnsi="Times New Roman"/>
          <w:szCs w:val="24"/>
        </w:rPr>
      </w:pPr>
      <w:bookmarkStart w:id="5" w:name="bkFacultyName"/>
      <w:r w:rsidRPr="0067318C">
        <w:rPr>
          <w:rFonts w:ascii="Times New Roman" w:hAnsi="Times New Roman"/>
          <w:szCs w:val="24"/>
        </w:rPr>
        <w:t>Dr. Deborah Hornsby</w:t>
      </w:r>
      <w:bookmarkEnd w:id="5"/>
    </w:p>
    <w:p w14:paraId="5D7D1042" w14:textId="77777777" w:rsidR="00EF2489" w:rsidRPr="0067318C" w:rsidRDefault="00EF2489" w:rsidP="00EF2489">
      <w:pPr>
        <w:pStyle w:val="APA"/>
        <w:rPr>
          <w:rFonts w:ascii="Times New Roman" w:hAnsi="Times New Roman"/>
          <w:szCs w:val="24"/>
        </w:rPr>
        <w:sectPr w:rsidR="00EF2489" w:rsidRPr="0067318C" w:rsidSect="0067318C">
          <w:headerReference w:type="default" r:id="rId8"/>
          <w:headerReference w:type="first" r:id="rId9"/>
          <w:pgSz w:w="12240" w:h="15840" w:code="1"/>
          <w:pgMar w:top="1440" w:right="1440" w:bottom="1440" w:left="1440" w:header="720" w:footer="720" w:gutter="0"/>
          <w:cols w:space="720"/>
          <w:titlePg/>
          <w:docGrid w:linePitch="360"/>
        </w:sectPr>
      </w:pPr>
    </w:p>
    <w:p w14:paraId="21E58D25" w14:textId="77777777" w:rsidR="00EF2489" w:rsidRPr="0067318C" w:rsidRDefault="00EF2489" w:rsidP="00EF2489">
      <w:pPr>
        <w:pStyle w:val="APAHeader"/>
        <w:rPr>
          <w:rFonts w:ascii="Times New Roman" w:hAnsi="Times New Roman"/>
          <w:szCs w:val="24"/>
        </w:rPr>
      </w:pPr>
      <w:r w:rsidRPr="0067318C">
        <w:rPr>
          <w:rFonts w:ascii="Times New Roman" w:hAnsi="Times New Roman"/>
          <w:szCs w:val="24"/>
        </w:rPr>
        <w:br w:type="page"/>
      </w:r>
      <w:bookmarkStart w:id="8" w:name="bkFirstPageTitle"/>
      <w:r w:rsidR="0067318C" w:rsidRPr="0067318C">
        <w:rPr>
          <w:rFonts w:ascii="Times New Roman" w:hAnsi="Times New Roman"/>
          <w:szCs w:val="24"/>
        </w:rPr>
        <w:lastRenderedPageBreak/>
        <w:t>Week Six: Trends in Adult Learning Settings</w:t>
      </w:r>
      <w:bookmarkEnd w:id="8"/>
    </w:p>
    <w:p w14:paraId="7E647DC2" w14:textId="77777777" w:rsidR="00EF2489" w:rsidRPr="0067318C" w:rsidRDefault="00EF2489" w:rsidP="00EF2489">
      <w:pPr>
        <w:spacing w:after="0" w:line="240" w:lineRule="auto"/>
        <w:rPr>
          <w:rFonts w:ascii="Times New Roman" w:hAnsi="Times New Roman"/>
          <w:sz w:val="24"/>
          <w:szCs w:val="24"/>
        </w:rPr>
      </w:pPr>
      <w:r w:rsidRPr="0067318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8084008" wp14:editId="5F8D2B53">
                <wp:simplePos x="0" y="0"/>
                <wp:positionH relativeFrom="column">
                  <wp:posOffset>3482975</wp:posOffset>
                </wp:positionH>
                <wp:positionV relativeFrom="paragraph">
                  <wp:posOffset>-28575</wp:posOffset>
                </wp:positionV>
                <wp:extent cx="2460625" cy="1788795"/>
                <wp:effectExtent l="15875" t="19050" r="28575" b="400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625" cy="1788795"/>
                        </a:xfrm>
                        <a:prstGeom prst="rect">
                          <a:avLst/>
                        </a:prstGeom>
                        <a:gradFill rotWithShape="0">
                          <a:gsLst>
                            <a:gs pos="0">
                              <a:srgbClr val="FFFFFF"/>
                            </a:gs>
                            <a:gs pos="100000">
                              <a:srgbClr val="D6E3BC"/>
                            </a:gs>
                          </a:gsLst>
                          <a:lin ang="5400000" scaled="1"/>
                        </a:gradFill>
                        <a:ln w="28575">
                          <a:solidFill>
                            <a:srgbClr val="C2D69B"/>
                          </a:solidFill>
                          <a:miter lim="800000"/>
                          <a:headEnd/>
                          <a:tailEnd/>
                        </a:ln>
                        <a:effectLst>
                          <a:outerShdw dist="28398" dir="3806097" algn="ctr" rotWithShape="0">
                            <a:srgbClr val="4E6128">
                              <a:alpha val="50000"/>
                            </a:srgbClr>
                          </a:outerShdw>
                        </a:effectLst>
                      </wps:spPr>
                      <wps:txbx>
                        <w:txbxContent>
                          <w:p w14:paraId="16B294FC" w14:textId="77777777" w:rsidR="00EF2489" w:rsidRDefault="00EF2489" w:rsidP="00EF2489">
                            <w:pPr>
                              <w:spacing w:after="0" w:line="240" w:lineRule="auto"/>
                              <w:jc w:val="right"/>
                              <w:rPr>
                                <w:rFonts w:ascii="Gill Sans Ultra Bold Condensed" w:hAnsi="Gill Sans Ultra Bold Condensed"/>
                                <w:sz w:val="56"/>
                                <w:szCs w:val="56"/>
                              </w:rPr>
                            </w:pPr>
                            <w:r>
                              <w:rPr>
                                <w:noProof/>
                                <w:sz w:val="24"/>
                                <w:szCs w:val="24"/>
                              </w:rPr>
                              <w:drawing>
                                <wp:inline distT="0" distB="0" distL="0" distR="0" wp14:anchorId="7E5BA32E" wp14:editId="1C900B35">
                                  <wp:extent cx="1219200" cy="91440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19200" cy="914400"/>
                                          </a:xfrm>
                                          <a:prstGeom prst="rect">
                                            <a:avLst/>
                                          </a:prstGeom>
                                          <a:noFill/>
                                          <a:ln>
                                            <a:noFill/>
                                          </a:ln>
                                        </pic:spPr>
                                      </pic:pic>
                                    </a:graphicData>
                                  </a:graphic>
                                </wp:inline>
                              </w:drawing>
                            </w:r>
                          </w:p>
                          <w:p w14:paraId="5C0A36D3" w14:textId="77777777" w:rsidR="00EF2489" w:rsidRPr="00EE1DAE" w:rsidRDefault="00E06187" w:rsidP="00EF2489">
                            <w:pPr>
                              <w:spacing w:after="0" w:line="240" w:lineRule="auto"/>
                              <w:jc w:val="right"/>
                              <w:rPr>
                                <w:rFonts w:ascii="Gill Sans Ultra Bold Condensed" w:hAnsi="Gill Sans Ultra Bold Condensed"/>
                                <w:sz w:val="32"/>
                                <w:szCs w:val="32"/>
                              </w:rPr>
                            </w:pPr>
                            <w:r>
                              <w:rPr>
                                <w:rFonts w:ascii="Gill Sans Ultra Bold Condensed" w:hAnsi="Gill Sans Ultra Bold Condensed"/>
                                <w:sz w:val="32"/>
                                <w:szCs w:val="32"/>
                              </w:rPr>
                              <w:t>World</w:t>
                            </w:r>
                            <w:r w:rsidR="00EF2489" w:rsidRPr="00EE1DAE">
                              <w:rPr>
                                <w:rFonts w:ascii="Gill Sans Ultra Bold Condensed" w:hAnsi="Gill Sans Ultra Bold Condensed"/>
                                <w:sz w:val="32"/>
                                <w:szCs w:val="32"/>
                              </w:rPr>
                              <w:t xml:space="preserve"> </w:t>
                            </w:r>
                            <w:r>
                              <w:rPr>
                                <w:rFonts w:ascii="Gill Sans Ultra Bold Condensed" w:hAnsi="Gill Sans Ultra Bold Condensed"/>
                                <w:sz w:val="32"/>
                                <w:szCs w:val="32"/>
                              </w:rPr>
                              <w:t>Financial Services</w:t>
                            </w:r>
                            <w:r w:rsidR="00EF2489" w:rsidRPr="00EE1DAE">
                              <w:rPr>
                                <w:rFonts w:ascii="Gill Sans Ultra Bold Condensed" w:hAnsi="Gill Sans Ultra Bold Condensed"/>
                                <w:sz w:val="32"/>
                                <w:szCs w:val="32"/>
                              </w:rPr>
                              <w:t xml:space="preserve"> </w:t>
                            </w:r>
                          </w:p>
                          <w:p w14:paraId="0EE62E19" w14:textId="77777777" w:rsidR="00EF2489" w:rsidRPr="00DD45C6" w:rsidRDefault="00EF2489" w:rsidP="00EF2489">
                            <w:pPr>
                              <w:spacing w:after="0" w:line="240" w:lineRule="auto"/>
                              <w:jc w:val="right"/>
                              <w:rPr>
                                <w:rFonts w:ascii="Gill Sans Ultra Bold Condensed" w:hAnsi="Gill Sans Ultra Bold Condensed"/>
                                <w:sz w:val="24"/>
                                <w:szCs w:val="24"/>
                              </w:rPr>
                            </w:pPr>
                            <w:r w:rsidRPr="00DD45C6">
                              <w:rPr>
                                <w:noProof/>
                                <w:sz w:val="24"/>
                                <w:szCs w:val="24"/>
                              </w:rPr>
                              <w:t xml:space="preserve"> </w:t>
                            </w:r>
                            <w:r>
                              <w:rPr>
                                <w:rFonts w:ascii="Gill Sans Ultra Bold Condensed" w:hAnsi="Gill Sans Ultra Bold Condensed"/>
                                <w:sz w:val="24"/>
                                <w:szCs w:val="24"/>
                              </w:rPr>
                              <w:t>One Lunsford Drive</w:t>
                            </w:r>
                          </w:p>
                          <w:p w14:paraId="2F8328B5" w14:textId="77777777" w:rsidR="00EF2489" w:rsidRDefault="00E06187" w:rsidP="00EF2489">
                            <w:pPr>
                              <w:jc w:val="right"/>
                            </w:pPr>
                            <w:r>
                              <w:rPr>
                                <w:rFonts w:ascii="Gill Sans Ultra Bold Condensed" w:hAnsi="Gill Sans Ultra Bold Condensed"/>
                                <w:sz w:val="24"/>
                                <w:szCs w:val="24"/>
                              </w:rPr>
                              <w:t>Atlanta, GA 3003</w:t>
                            </w:r>
                            <w:r w:rsidR="00EF2489" w:rsidRPr="00DD45C6">
                              <w:rPr>
                                <w:rFonts w:ascii="Gill Sans Ultra Bold Condensed" w:hAnsi="Gill Sans Ultra Bold Condensed"/>
                                <w:sz w:val="24"/>
                                <w:szCs w:val="24"/>
                              </w:rPr>
                              <w:t>4</w:t>
                            </w:r>
                          </w:p>
                          <w:p w14:paraId="55BD875D" w14:textId="77777777" w:rsidR="00EF2489" w:rsidRDefault="00EF2489" w:rsidP="00EF24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84008" id="_x0000_t202" coordsize="21600,21600" o:spt="202" path="m,l,21600r21600,l21600,xe">
                <v:stroke joinstyle="miter"/>
                <v:path gradientshapeok="t" o:connecttype="rect"/>
              </v:shapetype>
              <v:shape id="Text Box 2" o:spid="_x0000_s1026" type="#_x0000_t202" style="position:absolute;margin-left:274.25pt;margin-top:-2.25pt;width:193.75pt;height:1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" strokecolor="#c2d69b" strokeweight="2.25pt">
                <v:fill color2="#d6e3bc" focus="100%" type="gradient"/>
                <v:shadow on="t" color="#4e6128" opacity=".5" offset="1pt"/>
                <v:textbox>
                  <w:txbxContent>
                    <w:p w14:paraId="16B294FC" w14:textId="77777777" w:rsidR="00EF2489" w:rsidRDefault="00EF2489" w:rsidP="00EF2489">
                      <w:pPr>
                        <w:spacing w:after="0" w:line="240" w:lineRule="auto"/>
                        <w:jc w:val="right"/>
                        <w:rPr>
                          <w:rFonts w:ascii="Gill Sans Ultra Bold Condensed" w:hAnsi="Gill Sans Ultra Bold Condensed"/>
                          <w:sz w:val="56"/>
                          <w:szCs w:val="56"/>
                        </w:rPr>
                      </w:pPr>
                      <w:r>
                        <w:rPr>
                          <w:noProof/>
                          <w:sz w:val="24"/>
                          <w:szCs w:val="24"/>
                        </w:rPr>
                        <w:drawing>
                          <wp:inline distT="0" distB="0" distL="0" distR="0" wp14:anchorId="7E5BA32E" wp14:editId="1C900B35">
                            <wp:extent cx="1219200" cy="91440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19200" cy="914400"/>
                                    </a:xfrm>
                                    <a:prstGeom prst="rect">
                                      <a:avLst/>
                                    </a:prstGeom>
                                    <a:noFill/>
                                    <a:ln>
                                      <a:noFill/>
                                    </a:ln>
                                  </pic:spPr>
                                </pic:pic>
                              </a:graphicData>
                            </a:graphic>
                          </wp:inline>
                        </w:drawing>
                      </w:r>
                    </w:p>
                    <w:p w14:paraId="5C0A36D3" w14:textId="77777777" w:rsidR="00EF2489" w:rsidRPr="00EE1DAE" w:rsidRDefault="00E06187" w:rsidP="00EF2489">
                      <w:pPr>
                        <w:spacing w:after="0" w:line="240" w:lineRule="auto"/>
                        <w:jc w:val="right"/>
                        <w:rPr>
                          <w:rFonts w:ascii="Gill Sans Ultra Bold Condensed" w:hAnsi="Gill Sans Ultra Bold Condensed"/>
                          <w:sz w:val="32"/>
                          <w:szCs w:val="32"/>
                        </w:rPr>
                      </w:pPr>
                      <w:r>
                        <w:rPr>
                          <w:rFonts w:ascii="Gill Sans Ultra Bold Condensed" w:hAnsi="Gill Sans Ultra Bold Condensed"/>
                          <w:sz w:val="32"/>
                          <w:szCs w:val="32"/>
                        </w:rPr>
                        <w:t>World</w:t>
                      </w:r>
                      <w:r w:rsidR="00EF2489" w:rsidRPr="00EE1DAE">
                        <w:rPr>
                          <w:rFonts w:ascii="Gill Sans Ultra Bold Condensed" w:hAnsi="Gill Sans Ultra Bold Condensed"/>
                          <w:sz w:val="32"/>
                          <w:szCs w:val="32"/>
                        </w:rPr>
                        <w:t xml:space="preserve"> </w:t>
                      </w:r>
                      <w:r>
                        <w:rPr>
                          <w:rFonts w:ascii="Gill Sans Ultra Bold Condensed" w:hAnsi="Gill Sans Ultra Bold Condensed"/>
                          <w:sz w:val="32"/>
                          <w:szCs w:val="32"/>
                        </w:rPr>
                        <w:t>Financial Services</w:t>
                      </w:r>
                      <w:r w:rsidR="00EF2489" w:rsidRPr="00EE1DAE">
                        <w:rPr>
                          <w:rFonts w:ascii="Gill Sans Ultra Bold Condensed" w:hAnsi="Gill Sans Ultra Bold Condensed"/>
                          <w:sz w:val="32"/>
                          <w:szCs w:val="32"/>
                        </w:rPr>
                        <w:t xml:space="preserve"> </w:t>
                      </w:r>
                    </w:p>
                    <w:p w14:paraId="0EE62E19" w14:textId="77777777" w:rsidR="00EF2489" w:rsidRPr="00DD45C6" w:rsidRDefault="00EF2489" w:rsidP="00EF2489">
                      <w:pPr>
                        <w:spacing w:after="0" w:line="240" w:lineRule="auto"/>
                        <w:jc w:val="right"/>
                        <w:rPr>
                          <w:rFonts w:ascii="Gill Sans Ultra Bold Condensed" w:hAnsi="Gill Sans Ultra Bold Condensed"/>
                          <w:sz w:val="24"/>
                          <w:szCs w:val="24"/>
                        </w:rPr>
                      </w:pPr>
                      <w:r w:rsidRPr="00DD45C6">
                        <w:rPr>
                          <w:noProof/>
                          <w:sz w:val="24"/>
                          <w:szCs w:val="24"/>
                        </w:rPr>
                        <w:t xml:space="preserve"> </w:t>
                      </w:r>
                      <w:r>
                        <w:rPr>
                          <w:rFonts w:ascii="Gill Sans Ultra Bold Condensed" w:hAnsi="Gill Sans Ultra Bold Condensed"/>
                          <w:sz w:val="24"/>
                          <w:szCs w:val="24"/>
                        </w:rPr>
                        <w:t>One Lunsford Drive</w:t>
                      </w:r>
                    </w:p>
                    <w:p w14:paraId="2F8328B5" w14:textId="77777777" w:rsidR="00EF2489" w:rsidRDefault="00E06187" w:rsidP="00EF2489">
                      <w:pPr>
                        <w:jc w:val="right"/>
                      </w:pPr>
                      <w:r>
                        <w:rPr>
                          <w:rFonts w:ascii="Gill Sans Ultra Bold Condensed" w:hAnsi="Gill Sans Ultra Bold Condensed"/>
                          <w:sz w:val="24"/>
                          <w:szCs w:val="24"/>
                        </w:rPr>
                        <w:t>Atlanta, GA 3003</w:t>
                      </w:r>
                      <w:r w:rsidR="00EF2489" w:rsidRPr="00DD45C6">
                        <w:rPr>
                          <w:rFonts w:ascii="Gill Sans Ultra Bold Condensed" w:hAnsi="Gill Sans Ultra Bold Condensed"/>
                          <w:sz w:val="24"/>
                          <w:szCs w:val="24"/>
                        </w:rPr>
                        <w:t>4</w:t>
                      </w:r>
                    </w:p>
                    <w:p w14:paraId="55BD875D" w14:textId="77777777" w:rsidR="00EF2489" w:rsidRDefault="00EF2489" w:rsidP="00EF2489"/>
                  </w:txbxContent>
                </v:textbox>
              </v:shape>
            </w:pict>
          </mc:Fallback>
        </mc:AlternateContent>
      </w:r>
      <w:r w:rsidR="00250DF5">
        <w:rPr>
          <w:rFonts w:ascii="Times New Roman" w:hAnsi="Times New Roman"/>
          <w:sz w:val="24"/>
          <w:szCs w:val="24"/>
        </w:rPr>
        <w:t>July 28</w:t>
      </w:r>
      <w:r w:rsidR="00872B0F" w:rsidRPr="0067318C">
        <w:rPr>
          <w:rFonts w:ascii="Times New Roman" w:hAnsi="Times New Roman"/>
          <w:sz w:val="24"/>
          <w:szCs w:val="24"/>
        </w:rPr>
        <w:t>, 2014</w:t>
      </w:r>
    </w:p>
    <w:p w14:paraId="703979F4" w14:textId="77777777" w:rsidR="00EF2489" w:rsidRPr="0067318C" w:rsidRDefault="00EF2489" w:rsidP="00EF2489">
      <w:pPr>
        <w:rPr>
          <w:rFonts w:ascii="Times New Roman" w:hAnsi="Times New Roman"/>
          <w:sz w:val="24"/>
          <w:szCs w:val="24"/>
        </w:rPr>
      </w:pPr>
    </w:p>
    <w:p w14:paraId="680876DB" w14:textId="77777777" w:rsidR="00EF2489" w:rsidRPr="0067318C" w:rsidRDefault="00EF2489" w:rsidP="00EF2489">
      <w:pPr>
        <w:rPr>
          <w:rFonts w:ascii="Times New Roman" w:hAnsi="Times New Roman"/>
          <w:sz w:val="24"/>
          <w:szCs w:val="24"/>
        </w:rPr>
      </w:pPr>
    </w:p>
    <w:p w14:paraId="27C49B15" w14:textId="77777777" w:rsidR="00EF2489" w:rsidRPr="0067318C" w:rsidRDefault="00250DF5" w:rsidP="00EF2489">
      <w:pPr>
        <w:spacing w:after="0" w:line="240" w:lineRule="auto"/>
        <w:rPr>
          <w:rFonts w:ascii="Times New Roman" w:hAnsi="Times New Roman"/>
          <w:sz w:val="24"/>
          <w:szCs w:val="24"/>
        </w:rPr>
      </w:pPr>
      <w:r>
        <w:rPr>
          <w:rFonts w:ascii="Times New Roman" w:hAnsi="Times New Roman"/>
          <w:sz w:val="24"/>
          <w:szCs w:val="24"/>
        </w:rPr>
        <w:t>Felicia L. Jones-Shaw</w:t>
      </w:r>
      <w:r w:rsidR="00EF2489" w:rsidRPr="0067318C">
        <w:rPr>
          <w:rFonts w:ascii="Times New Roman" w:hAnsi="Times New Roman"/>
          <w:sz w:val="24"/>
          <w:szCs w:val="24"/>
        </w:rPr>
        <w:br/>
      </w:r>
      <w:r w:rsidR="00DF73CC">
        <w:rPr>
          <w:rFonts w:ascii="Times New Roman" w:hAnsi="Times New Roman"/>
          <w:sz w:val="24"/>
          <w:szCs w:val="24"/>
        </w:rPr>
        <w:t>Director of Communications &amp;</w:t>
      </w:r>
      <w:r w:rsidR="00F51B99">
        <w:rPr>
          <w:rFonts w:ascii="Times New Roman" w:hAnsi="Times New Roman"/>
          <w:sz w:val="24"/>
          <w:szCs w:val="24"/>
        </w:rPr>
        <w:t xml:space="preserve"> Change Management</w:t>
      </w:r>
      <w:r w:rsidR="00EF2489" w:rsidRPr="0067318C">
        <w:rPr>
          <w:rFonts w:ascii="Times New Roman" w:hAnsi="Times New Roman"/>
          <w:sz w:val="24"/>
          <w:szCs w:val="24"/>
        </w:rPr>
        <w:t xml:space="preserve"> </w:t>
      </w:r>
    </w:p>
    <w:p w14:paraId="3C7E4135" w14:textId="77777777" w:rsidR="00EF2489" w:rsidRPr="0067318C" w:rsidRDefault="00B837AC" w:rsidP="00EF2489">
      <w:pPr>
        <w:rPr>
          <w:rFonts w:ascii="Times New Roman" w:hAnsi="Times New Roman"/>
          <w:sz w:val="24"/>
          <w:szCs w:val="24"/>
        </w:rPr>
      </w:pPr>
      <w:r w:rsidRPr="0067318C">
        <w:rPr>
          <w:rFonts w:ascii="Times New Roman" w:hAnsi="Times New Roman"/>
          <w:sz w:val="24"/>
          <w:szCs w:val="24"/>
        </w:rPr>
        <w:t>Sales and Marketing</w:t>
      </w:r>
      <w:r w:rsidR="00EF2489" w:rsidRPr="0067318C">
        <w:rPr>
          <w:rFonts w:ascii="Times New Roman" w:hAnsi="Times New Roman"/>
          <w:sz w:val="24"/>
          <w:szCs w:val="24"/>
        </w:rPr>
        <w:br/>
      </w:r>
      <w:r w:rsidR="00872B0F" w:rsidRPr="0067318C">
        <w:rPr>
          <w:rFonts w:ascii="Times New Roman" w:hAnsi="Times New Roman"/>
          <w:sz w:val="24"/>
          <w:szCs w:val="24"/>
        </w:rPr>
        <w:t>World Financial Services</w:t>
      </w:r>
      <w:r w:rsidR="00EF2489" w:rsidRPr="0067318C">
        <w:rPr>
          <w:rFonts w:ascii="Times New Roman" w:hAnsi="Times New Roman"/>
          <w:sz w:val="24"/>
          <w:szCs w:val="24"/>
        </w:rPr>
        <w:br/>
        <w:t xml:space="preserve">One </w:t>
      </w:r>
      <w:r w:rsidR="00C71D85" w:rsidRPr="0067318C">
        <w:rPr>
          <w:rFonts w:ascii="Times New Roman" w:hAnsi="Times New Roman"/>
          <w:sz w:val="24"/>
          <w:szCs w:val="24"/>
        </w:rPr>
        <w:t>Financial</w:t>
      </w:r>
      <w:r w:rsidR="00872B0F" w:rsidRPr="0067318C">
        <w:rPr>
          <w:rFonts w:ascii="Times New Roman" w:hAnsi="Times New Roman"/>
          <w:sz w:val="24"/>
          <w:szCs w:val="24"/>
        </w:rPr>
        <w:t xml:space="preserve"> Drive</w:t>
      </w:r>
      <w:r w:rsidR="00EF2489" w:rsidRPr="0067318C">
        <w:rPr>
          <w:rFonts w:ascii="Times New Roman" w:hAnsi="Times New Roman"/>
          <w:sz w:val="24"/>
          <w:szCs w:val="24"/>
        </w:rPr>
        <w:br/>
      </w:r>
      <w:r w:rsidR="00C71D85" w:rsidRPr="0067318C">
        <w:rPr>
          <w:rFonts w:ascii="Times New Roman" w:hAnsi="Times New Roman"/>
          <w:sz w:val="24"/>
          <w:szCs w:val="24"/>
        </w:rPr>
        <w:t>New York</w:t>
      </w:r>
      <w:r w:rsidR="00872B0F" w:rsidRPr="0067318C">
        <w:rPr>
          <w:rFonts w:ascii="Times New Roman" w:hAnsi="Times New Roman"/>
          <w:sz w:val="24"/>
          <w:szCs w:val="24"/>
        </w:rPr>
        <w:t xml:space="preserve">, </w:t>
      </w:r>
      <w:r w:rsidR="00C71D85" w:rsidRPr="0067318C">
        <w:rPr>
          <w:rFonts w:ascii="Times New Roman" w:hAnsi="Times New Roman"/>
          <w:sz w:val="24"/>
          <w:szCs w:val="24"/>
        </w:rPr>
        <w:t>NY</w:t>
      </w:r>
      <w:r w:rsidR="00872B0F" w:rsidRPr="0067318C">
        <w:rPr>
          <w:rFonts w:ascii="Times New Roman" w:hAnsi="Times New Roman"/>
          <w:sz w:val="24"/>
          <w:szCs w:val="24"/>
        </w:rPr>
        <w:t xml:space="preserve"> </w:t>
      </w:r>
      <w:r w:rsidR="00C71D85" w:rsidRPr="0067318C">
        <w:rPr>
          <w:rFonts w:ascii="Times New Roman" w:hAnsi="Times New Roman"/>
          <w:sz w:val="24"/>
          <w:szCs w:val="24"/>
        </w:rPr>
        <w:t>1</w:t>
      </w:r>
      <w:r w:rsidR="00872B0F" w:rsidRPr="0067318C">
        <w:rPr>
          <w:rFonts w:ascii="Times New Roman" w:hAnsi="Times New Roman"/>
          <w:sz w:val="24"/>
          <w:szCs w:val="24"/>
        </w:rPr>
        <w:t>0034</w:t>
      </w:r>
      <w:r w:rsidR="007661C2" w:rsidRPr="0067318C">
        <w:rPr>
          <w:rFonts w:ascii="Times New Roman" w:hAnsi="Times New Roman"/>
          <w:sz w:val="24"/>
          <w:szCs w:val="24"/>
        </w:rPr>
        <w:br/>
      </w:r>
      <w:r w:rsidR="007661C2" w:rsidRPr="0067318C">
        <w:rPr>
          <w:rFonts w:ascii="Times New Roman" w:hAnsi="Times New Roman"/>
          <w:sz w:val="24"/>
          <w:szCs w:val="24"/>
        </w:rPr>
        <w:br/>
        <w:t>Dear Ms</w:t>
      </w:r>
      <w:r w:rsidR="00EF2489" w:rsidRPr="0067318C">
        <w:rPr>
          <w:rFonts w:ascii="Times New Roman" w:hAnsi="Times New Roman"/>
          <w:sz w:val="24"/>
          <w:szCs w:val="24"/>
        </w:rPr>
        <w:t xml:space="preserve">. </w:t>
      </w:r>
      <w:r w:rsidR="00250DF5">
        <w:rPr>
          <w:rFonts w:ascii="Times New Roman" w:hAnsi="Times New Roman"/>
          <w:sz w:val="24"/>
          <w:szCs w:val="24"/>
        </w:rPr>
        <w:t>Jone</w:t>
      </w:r>
      <w:r w:rsidR="00F51B99">
        <w:rPr>
          <w:rFonts w:ascii="Times New Roman" w:hAnsi="Times New Roman"/>
          <w:sz w:val="24"/>
          <w:szCs w:val="24"/>
        </w:rPr>
        <w:t>s</w:t>
      </w:r>
      <w:r w:rsidR="00250DF5">
        <w:rPr>
          <w:rFonts w:ascii="Times New Roman" w:hAnsi="Times New Roman"/>
          <w:sz w:val="24"/>
          <w:szCs w:val="24"/>
        </w:rPr>
        <w:t>-Shaw</w:t>
      </w:r>
      <w:r w:rsidR="007F7D45" w:rsidRPr="0067318C">
        <w:rPr>
          <w:rFonts w:ascii="Times New Roman" w:hAnsi="Times New Roman"/>
          <w:sz w:val="24"/>
          <w:szCs w:val="24"/>
        </w:rPr>
        <w:t xml:space="preserve">: </w:t>
      </w:r>
      <w:r w:rsidR="00EF2489" w:rsidRPr="0067318C">
        <w:rPr>
          <w:rFonts w:ascii="Times New Roman" w:hAnsi="Times New Roman"/>
          <w:sz w:val="24"/>
          <w:szCs w:val="24"/>
        </w:rPr>
        <w:br/>
      </w:r>
      <w:r w:rsidR="00EF2489" w:rsidRPr="0067318C">
        <w:rPr>
          <w:rFonts w:ascii="Times New Roman" w:hAnsi="Times New Roman"/>
          <w:sz w:val="24"/>
          <w:szCs w:val="24"/>
        </w:rPr>
        <w:br/>
        <w:t xml:space="preserve">I understand </w:t>
      </w:r>
      <w:r w:rsidR="00CD0CE6" w:rsidRPr="0067318C">
        <w:rPr>
          <w:rFonts w:ascii="Times New Roman" w:hAnsi="Times New Roman"/>
          <w:sz w:val="24"/>
          <w:szCs w:val="24"/>
        </w:rPr>
        <w:t>the future trends in sales</w:t>
      </w:r>
      <w:r w:rsidR="00981110" w:rsidRPr="0067318C">
        <w:rPr>
          <w:rFonts w:ascii="Times New Roman" w:hAnsi="Times New Roman"/>
          <w:sz w:val="24"/>
          <w:szCs w:val="24"/>
        </w:rPr>
        <w:t xml:space="preserve"> and marketing</w:t>
      </w:r>
      <w:r w:rsidR="00CD0CE6" w:rsidRPr="0067318C">
        <w:rPr>
          <w:rFonts w:ascii="Times New Roman" w:hAnsi="Times New Roman"/>
          <w:sz w:val="24"/>
          <w:szCs w:val="24"/>
        </w:rPr>
        <w:t xml:space="preserve">, as well as how our organization can continue to add </w:t>
      </w:r>
      <w:r w:rsidR="00E80660" w:rsidRPr="0067318C">
        <w:rPr>
          <w:rFonts w:ascii="Times New Roman" w:hAnsi="Times New Roman"/>
          <w:sz w:val="24"/>
          <w:szCs w:val="24"/>
        </w:rPr>
        <w:t xml:space="preserve">financial </w:t>
      </w:r>
      <w:r w:rsidR="00CD0CE6" w:rsidRPr="0067318C">
        <w:rPr>
          <w:rFonts w:ascii="Times New Roman" w:hAnsi="Times New Roman"/>
          <w:sz w:val="24"/>
          <w:szCs w:val="24"/>
        </w:rPr>
        <w:t>value to our customers, are</w:t>
      </w:r>
      <w:r w:rsidR="00EF2489" w:rsidRPr="0067318C">
        <w:rPr>
          <w:rFonts w:ascii="Times New Roman" w:hAnsi="Times New Roman"/>
          <w:sz w:val="24"/>
          <w:szCs w:val="24"/>
        </w:rPr>
        <w:t xml:space="preserve"> concerns </w:t>
      </w:r>
      <w:r w:rsidR="00CD0CE6" w:rsidRPr="0067318C">
        <w:rPr>
          <w:rFonts w:ascii="Times New Roman" w:hAnsi="Times New Roman"/>
          <w:sz w:val="24"/>
          <w:szCs w:val="24"/>
        </w:rPr>
        <w:t xml:space="preserve">that </w:t>
      </w:r>
      <w:r w:rsidR="00D070DD" w:rsidRPr="0067318C">
        <w:rPr>
          <w:rFonts w:ascii="Times New Roman" w:hAnsi="Times New Roman"/>
          <w:sz w:val="24"/>
          <w:szCs w:val="24"/>
        </w:rPr>
        <w:t>continue to be</w:t>
      </w:r>
      <w:r w:rsidR="00EF2489" w:rsidRPr="0067318C">
        <w:rPr>
          <w:rFonts w:ascii="Times New Roman" w:hAnsi="Times New Roman"/>
          <w:sz w:val="24"/>
          <w:szCs w:val="24"/>
        </w:rPr>
        <w:t xml:space="preserve"> on your priority list. With </w:t>
      </w:r>
      <w:r w:rsidR="00981110" w:rsidRPr="0067318C">
        <w:rPr>
          <w:rFonts w:ascii="Times New Roman" w:hAnsi="Times New Roman"/>
          <w:sz w:val="24"/>
          <w:szCs w:val="24"/>
        </w:rPr>
        <w:t>the advancement of technology, increased use of the Internet</w:t>
      </w:r>
      <w:r w:rsidR="00EF2489" w:rsidRPr="0067318C">
        <w:rPr>
          <w:rFonts w:ascii="Times New Roman" w:hAnsi="Times New Roman"/>
          <w:sz w:val="24"/>
          <w:szCs w:val="24"/>
        </w:rPr>
        <w:t>,</w:t>
      </w:r>
      <w:r w:rsidR="00981110" w:rsidRPr="0067318C">
        <w:rPr>
          <w:rFonts w:ascii="Times New Roman" w:hAnsi="Times New Roman"/>
          <w:sz w:val="24"/>
          <w:szCs w:val="24"/>
        </w:rPr>
        <w:t xml:space="preserve"> and </w:t>
      </w:r>
      <w:r w:rsidR="00E80660" w:rsidRPr="0067318C">
        <w:rPr>
          <w:rFonts w:ascii="Times New Roman" w:hAnsi="Times New Roman"/>
          <w:sz w:val="24"/>
          <w:szCs w:val="24"/>
        </w:rPr>
        <w:t xml:space="preserve">the </w:t>
      </w:r>
      <w:r w:rsidR="00981110" w:rsidRPr="0067318C">
        <w:rPr>
          <w:rFonts w:ascii="Times New Roman" w:hAnsi="Times New Roman"/>
          <w:sz w:val="24"/>
          <w:szCs w:val="24"/>
        </w:rPr>
        <w:t>growing presence of social media,</w:t>
      </w:r>
      <w:r w:rsidR="00EF2489" w:rsidRPr="0067318C">
        <w:rPr>
          <w:rFonts w:ascii="Times New Roman" w:hAnsi="Times New Roman"/>
          <w:sz w:val="24"/>
          <w:szCs w:val="24"/>
        </w:rPr>
        <w:t xml:space="preserve"> </w:t>
      </w:r>
      <w:r w:rsidR="007C7014">
        <w:rPr>
          <w:rFonts w:ascii="Times New Roman" w:hAnsi="Times New Roman"/>
          <w:sz w:val="24"/>
          <w:szCs w:val="24"/>
        </w:rPr>
        <w:t>it is important that, as educators, we continue to</w:t>
      </w:r>
      <w:r w:rsidR="00EF2489" w:rsidRPr="0067318C">
        <w:rPr>
          <w:rFonts w:ascii="Times New Roman" w:hAnsi="Times New Roman"/>
          <w:sz w:val="24"/>
          <w:szCs w:val="24"/>
        </w:rPr>
        <w:t xml:space="preserve"> explore </w:t>
      </w:r>
      <w:r w:rsidR="00D81C70" w:rsidRPr="0067318C">
        <w:rPr>
          <w:rFonts w:ascii="Times New Roman" w:hAnsi="Times New Roman"/>
          <w:sz w:val="24"/>
          <w:szCs w:val="24"/>
        </w:rPr>
        <w:t>opportunities that</w:t>
      </w:r>
      <w:r w:rsidR="00E80660" w:rsidRPr="0067318C">
        <w:rPr>
          <w:rFonts w:ascii="Times New Roman" w:hAnsi="Times New Roman"/>
          <w:sz w:val="24"/>
          <w:szCs w:val="24"/>
        </w:rPr>
        <w:t xml:space="preserve"> will</w:t>
      </w:r>
      <w:r w:rsidR="00D81C70" w:rsidRPr="0067318C">
        <w:rPr>
          <w:rFonts w:ascii="Times New Roman" w:hAnsi="Times New Roman"/>
          <w:sz w:val="24"/>
          <w:szCs w:val="24"/>
        </w:rPr>
        <w:t xml:space="preserve"> allow</w:t>
      </w:r>
      <w:r w:rsidR="00EF2489" w:rsidRPr="0067318C">
        <w:rPr>
          <w:rFonts w:ascii="Times New Roman" w:hAnsi="Times New Roman"/>
          <w:sz w:val="24"/>
          <w:szCs w:val="24"/>
        </w:rPr>
        <w:t xml:space="preserve"> </w:t>
      </w:r>
      <w:r w:rsidR="00981110" w:rsidRPr="0067318C">
        <w:rPr>
          <w:rFonts w:ascii="Times New Roman" w:hAnsi="Times New Roman"/>
          <w:sz w:val="24"/>
          <w:szCs w:val="24"/>
        </w:rPr>
        <w:t>World Financial Services</w:t>
      </w:r>
      <w:r w:rsidR="00D81C70" w:rsidRPr="0067318C">
        <w:rPr>
          <w:rFonts w:ascii="Times New Roman" w:hAnsi="Times New Roman"/>
          <w:sz w:val="24"/>
          <w:szCs w:val="24"/>
        </w:rPr>
        <w:t xml:space="preserve"> to stay abreast of the changes in our industry and</w:t>
      </w:r>
      <w:r w:rsidR="00EF2489" w:rsidRPr="0067318C">
        <w:rPr>
          <w:rFonts w:ascii="Times New Roman" w:hAnsi="Times New Roman"/>
          <w:sz w:val="24"/>
          <w:szCs w:val="24"/>
        </w:rPr>
        <w:t xml:space="preserve"> implement </w:t>
      </w:r>
      <w:r w:rsidR="007E6480" w:rsidRPr="0067318C">
        <w:rPr>
          <w:rFonts w:ascii="Times New Roman" w:hAnsi="Times New Roman"/>
          <w:sz w:val="24"/>
          <w:szCs w:val="24"/>
        </w:rPr>
        <w:t>training</w:t>
      </w:r>
      <w:r w:rsidR="00EF2489" w:rsidRPr="0067318C">
        <w:rPr>
          <w:rFonts w:ascii="Times New Roman" w:hAnsi="Times New Roman"/>
          <w:sz w:val="24"/>
          <w:szCs w:val="24"/>
        </w:rPr>
        <w:t xml:space="preserve"> programs and practices</w:t>
      </w:r>
      <w:r w:rsidR="007E6480" w:rsidRPr="0067318C">
        <w:rPr>
          <w:rFonts w:ascii="Times New Roman" w:hAnsi="Times New Roman"/>
          <w:sz w:val="24"/>
          <w:szCs w:val="24"/>
        </w:rPr>
        <w:t xml:space="preserve"> that aid our employees in showing our customers how </w:t>
      </w:r>
      <w:r w:rsidR="00D070DD" w:rsidRPr="0067318C">
        <w:rPr>
          <w:rFonts w:ascii="Times New Roman" w:hAnsi="Times New Roman"/>
          <w:sz w:val="24"/>
          <w:szCs w:val="24"/>
        </w:rPr>
        <w:t xml:space="preserve">we can </w:t>
      </w:r>
      <w:r w:rsidR="00E80660" w:rsidRPr="0067318C">
        <w:rPr>
          <w:rFonts w:ascii="Times New Roman" w:hAnsi="Times New Roman"/>
          <w:sz w:val="24"/>
          <w:szCs w:val="24"/>
        </w:rPr>
        <w:t>help them take control of their finances</w:t>
      </w:r>
      <w:r w:rsidR="00EF2489" w:rsidRPr="0067318C">
        <w:rPr>
          <w:rFonts w:ascii="Times New Roman" w:hAnsi="Times New Roman"/>
          <w:sz w:val="24"/>
          <w:szCs w:val="24"/>
        </w:rPr>
        <w:t xml:space="preserve">.  </w:t>
      </w:r>
    </w:p>
    <w:p w14:paraId="52985A28" w14:textId="77777777" w:rsidR="00EF2489" w:rsidRDefault="00EF2489" w:rsidP="00EF2489">
      <w:pPr>
        <w:rPr>
          <w:rFonts w:ascii="Times New Roman" w:hAnsi="Times New Roman"/>
          <w:sz w:val="24"/>
          <w:szCs w:val="24"/>
        </w:rPr>
      </w:pPr>
      <w:r w:rsidRPr="0067318C">
        <w:rPr>
          <w:rFonts w:ascii="Times New Roman" w:hAnsi="Times New Roman"/>
          <w:sz w:val="24"/>
          <w:szCs w:val="24"/>
        </w:rPr>
        <w:t xml:space="preserve">As we </w:t>
      </w:r>
      <w:r w:rsidR="007C7014">
        <w:rPr>
          <w:rFonts w:ascii="Times New Roman" w:hAnsi="Times New Roman"/>
          <w:sz w:val="24"/>
          <w:szCs w:val="24"/>
        </w:rPr>
        <w:t>know</w:t>
      </w:r>
      <w:r w:rsidRPr="0067318C">
        <w:rPr>
          <w:rFonts w:ascii="Times New Roman" w:hAnsi="Times New Roman"/>
          <w:sz w:val="24"/>
          <w:szCs w:val="24"/>
        </w:rPr>
        <w:t xml:space="preserve"> </w:t>
      </w:r>
      <w:r w:rsidR="00063849" w:rsidRPr="0067318C">
        <w:rPr>
          <w:rFonts w:ascii="Times New Roman" w:hAnsi="Times New Roman"/>
          <w:sz w:val="24"/>
          <w:szCs w:val="24"/>
        </w:rPr>
        <w:t>globalization</w:t>
      </w:r>
      <w:r w:rsidR="00D81C70" w:rsidRPr="0067318C">
        <w:rPr>
          <w:rFonts w:ascii="Times New Roman" w:hAnsi="Times New Roman"/>
          <w:sz w:val="24"/>
          <w:szCs w:val="24"/>
        </w:rPr>
        <w:t>, technological advances,</w:t>
      </w:r>
      <w:r w:rsidR="00063849" w:rsidRPr="0067318C">
        <w:rPr>
          <w:rFonts w:ascii="Times New Roman" w:hAnsi="Times New Roman"/>
          <w:sz w:val="24"/>
          <w:szCs w:val="24"/>
        </w:rPr>
        <w:t xml:space="preserve"> and consumer access to copious amounts of information</w:t>
      </w:r>
      <w:r w:rsidR="006D6D52" w:rsidRPr="0067318C">
        <w:rPr>
          <w:rFonts w:ascii="Times New Roman" w:hAnsi="Times New Roman"/>
          <w:sz w:val="24"/>
          <w:szCs w:val="24"/>
        </w:rPr>
        <w:t xml:space="preserve"> on the Internet</w:t>
      </w:r>
      <w:r w:rsidR="009B5370" w:rsidRPr="0067318C">
        <w:rPr>
          <w:rFonts w:ascii="Times New Roman" w:hAnsi="Times New Roman"/>
          <w:sz w:val="24"/>
          <w:szCs w:val="24"/>
        </w:rPr>
        <w:t>,</w:t>
      </w:r>
      <w:r w:rsidR="006D6D52" w:rsidRPr="0067318C">
        <w:rPr>
          <w:rFonts w:ascii="Times New Roman" w:hAnsi="Times New Roman"/>
          <w:sz w:val="24"/>
          <w:szCs w:val="24"/>
        </w:rPr>
        <w:t xml:space="preserve"> </w:t>
      </w:r>
      <w:r w:rsidR="00063849" w:rsidRPr="0067318C">
        <w:rPr>
          <w:rFonts w:ascii="Times New Roman" w:hAnsi="Times New Roman"/>
          <w:sz w:val="24"/>
          <w:szCs w:val="24"/>
        </w:rPr>
        <w:t>has created a situation in which</w:t>
      </w:r>
      <w:r w:rsidR="006D6D52" w:rsidRPr="0067318C">
        <w:rPr>
          <w:rFonts w:ascii="Times New Roman" w:hAnsi="Times New Roman"/>
          <w:sz w:val="24"/>
          <w:szCs w:val="24"/>
        </w:rPr>
        <w:t xml:space="preserve"> people are overloaded with numerous financial products and services they are told will meet their everyday needs</w:t>
      </w:r>
      <w:r w:rsidRPr="0067318C">
        <w:rPr>
          <w:rFonts w:ascii="Times New Roman" w:hAnsi="Times New Roman"/>
          <w:sz w:val="24"/>
          <w:szCs w:val="24"/>
        </w:rPr>
        <w:t xml:space="preserve">. </w:t>
      </w:r>
      <w:r w:rsidR="00D96699" w:rsidRPr="0067318C">
        <w:rPr>
          <w:rFonts w:ascii="Times New Roman" w:hAnsi="Times New Roman"/>
          <w:sz w:val="24"/>
          <w:szCs w:val="24"/>
        </w:rPr>
        <w:t>However, with more than five</w:t>
      </w:r>
      <w:r w:rsidRPr="0067318C">
        <w:rPr>
          <w:rFonts w:ascii="Times New Roman" w:hAnsi="Times New Roman"/>
          <w:sz w:val="24"/>
          <w:szCs w:val="24"/>
        </w:rPr>
        <w:t xml:space="preserve"> decades of experience, </w:t>
      </w:r>
      <w:r w:rsidR="00D96699" w:rsidRPr="0067318C">
        <w:rPr>
          <w:rFonts w:ascii="Times New Roman" w:hAnsi="Times New Roman"/>
          <w:sz w:val="24"/>
          <w:szCs w:val="24"/>
        </w:rPr>
        <w:t xml:space="preserve">and </w:t>
      </w:r>
      <w:r w:rsidRPr="0067318C">
        <w:rPr>
          <w:rFonts w:ascii="Times New Roman" w:hAnsi="Times New Roman"/>
          <w:sz w:val="24"/>
          <w:szCs w:val="24"/>
        </w:rPr>
        <w:t xml:space="preserve">our </w:t>
      </w:r>
      <w:r w:rsidR="00D96699" w:rsidRPr="0067318C">
        <w:rPr>
          <w:rFonts w:ascii="Times New Roman" w:hAnsi="Times New Roman"/>
          <w:sz w:val="24"/>
          <w:szCs w:val="24"/>
        </w:rPr>
        <w:t xml:space="preserve">award-winning </w:t>
      </w:r>
      <w:r w:rsidRPr="0067318C">
        <w:rPr>
          <w:rFonts w:ascii="Times New Roman" w:hAnsi="Times New Roman"/>
          <w:sz w:val="24"/>
          <w:szCs w:val="24"/>
        </w:rPr>
        <w:t xml:space="preserve">track record </w:t>
      </w:r>
      <w:r w:rsidR="00D96699" w:rsidRPr="0067318C">
        <w:rPr>
          <w:rFonts w:ascii="Times New Roman" w:hAnsi="Times New Roman"/>
          <w:sz w:val="24"/>
          <w:szCs w:val="24"/>
        </w:rPr>
        <w:t>in providing the highest customer satisfaction among U.S. financial corporations</w:t>
      </w:r>
      <w:r w:rsidR="009B5370" w:rsidRPr="0067318C">
        <w:rPr>
          <w:rFonts w:ascii="Times New Roman" w:hAnsi="Times New Roman"/>
          <w:sz w:val="24"/>
          <w:szCs w:val="24"/>
        </w:rPr>
        <w:t>, I’m positive the information shared in this document will help us show our staff why and how we can continue to set ourselves apart from the competition</w:t>
      </w:r>
      <w:r w:rsidRPr="0067318C">
        <w:rPr>
          <w:rFonts w:ascii="Times New Roman" w:hAnsi="Times New Roman"/>
          <w:sz w:val="24"/>
          <w:szCs w:val="24"/>
        </w:rPr>
        <w:t xml:space="preserve">. </w:t>
      </w:r>
    </w:p>
    <w:p w14:paraId="39C78A72" w14:textId="77777777" w:rsidR="007C7014" w:rsidRDefault="007C7014" w:rsidP="00EF2489">
      <w:pPr>
        <w:rPr>
          <w:rFonts w:ascii="Times New Roman" w:hAnsi="Times New Roman"/>
          <w:sz w:val="24"/>
          <w:szCs w:val="24"/>
        </w:rPr>
      </w:pPr>
      <w:r>
        <w:rPr>
          <w:rFonts w:ascii="Times New Roman" w:hAnsi="Times New Roman"/>
          <w:sz w:val="24"/>
          <w:szCs w:val="24"/>
        </w:rPr>
        <w:t>Recently, I was presented with The Association for Talent Development’s (ATD), formerly ASTD, launch of their new ASTD Competency Model</w:t>
      </w:r>
      <w:r w:rsidR="00C80764">
        <w:rPr>
          <w:rStyle w:val="FootnoteReference"/>
          <w:rFonts w:ascii="Times New Roman" w:hAnsi="Times New Roman"/>
          <w:sz w:val="24"/>
          <w:szCs w:val="24"/>
        </w:rPr>
        <w:footnoteReference w:id="1"/>
      </w:r>
      <w:r>
        <w:rPr>
          <w:rFonts w:ascii="Times New Roman" w:hAnsi="Times New Roman"/>
          <w:sz w:val="24"/>
          <w:szCs w:val="24"/>
        </w:rPr>
        <w:t xml:space="preserve">. By capturing the changes driven by important factors such as the ones I previously mentioned and others, including demographic shifts and economic forces, this new model redefines the skills and knowledge needed to be </w:t>
      </w:r>
      <w:r>
        <w:rPr>
          <w:rFonts w:ascii="Times New Roman" w:hAnsi="Times New Roman"/>
          <w:sz w:val="24"/>
          <w:szCs w:val="24"/>
        </w:rPr>
        <w:lastRenderedPageBreak/>
        <w:t>successful today, and going into the future.</w:t>
      </w:r>
      <w:r w:rsidR="00E76291">
        <w:rPr>
          <w:rFonts w:ascii="Times New Roman" w:hAnsi="Times New Roman"/>
          <w:sz w:val="24"/>
          <w:szCs w:val="24"/>
        </w:rPr>
        <w:t xml:space="preserve"> The ASTD Competency Model emphasizes two key components: 1) Foundational Competencies, and 2) Specific Areas of Expertise (AOE). </w:t>
      </w:r>
      <w:r w:rsidR="00A56E99">
        <w:rPr>
          <w:rFonts w:ascii="Times New Roman" w:hAnsi="Times New Roman"/>
          <w:sz w:val="24"/>
          <w:szCs w:val="24"/>
        </w:rPr>
        <w:t xml:space="preserve"> </w:t>
      </w:r>
      <w:r w:rsidR="00811857">
        <w:rPr>
          <w:rFonts w:ascii="Times New Roman" w:hAnsi="Times New Roman"/>
          <w:sz w:val="24"/>
          <w:szCs w:val="24"/>
        </w:rPr>
        <w:t xml:space="preserve">As presented in </w:t>
      </w:r>
      <w:r w:rsidR="002A698C">
        <w:rPr>
          <w:rFonts w:ascii="Times New Roman" w:hAnsi="Times New Roman"/>
          <w:sz w:val="24"/>
          <w:szCs w:val="24"/>
        </w:rPr>
        <w:fldChar w:fldCharType="begin"/>
      </w:r>
      <w:r w:rsidR="002A698C">
        <w:rPr>
          <w:rFonts w:ascii="Times New Roman" w:hAnsi="Times New Roman"/>
          <w:sz w:val="24"/>
          <w:szCs w:val="24"/>
        </w:rPr>
        <w:instrText xml:space="preserve"> REF _Ref394250221 \h </w:instrText>
      </w:r>
      <w:r w:rsidR="002A698C">
        <w:rPr>
          <w:rFonts w:ascii="Times New Roman" w:hAnsi="Times New Roman"/>
          <w:sz w:val="24"/>
          <w:szCs w:val="24"/>
        </w:rPr>
      </w:r>
      <w:r w:rsidR="002A698C">
        <w:rPr>
          <w:rFonts w:ascii="Times New Roman" w:hAnsi="Times New Roman"/>
          <w:sz w:val="24"/>
          <w:szCs w:val="24"/>
        </w:rPr>
        <w:fldChar w:fldCharType="separate"/>
      </w:r>
      <w:r w:rsidR="002A698C">
        <w:t xml:space="preserve">Figure </w:t>
      </w:r>
      <w:r w:rsidR="002A698C">
        <w:rPr>
          <w:noProof/>
        </w:rPr>
        <w:t>1</w:t>
      </w:r>
      <w:r w:rsidR="002A698C">
        <w:rPr>
          <w:rFonts w:ascii="Times New Roman" w:hAnsi="Times New Roman"/>
          <w:sz w:val="24"/>
          <w:szCs w:val="24"/>
        </w:rPr>
        <w:fldChar w:fldCharType="end"/>
      </w:r>
      <w:r w:rsidR="00811857">
        <w:rPr>
          <w:rFonts w:ascii="Times New Roman" w:hAnsi="Times New Roman"/>
          <w:sz w:val="24"/>
          <w:szCs w:val="24"/>
        </w:rPr>
        <w:t xml:space="preserve">, there are ten </w:t>
      </w:r>
      <w:r w:rsidR="007C542D">
        <w:rPr>
          <w:rFonts w:ascii="Times New Roman" w:hAnsi="Times New Roman"/>
          <w:sz w:val="24"/>
          <w:szCs w:val="24"/>
        </w:rPr>
        <w:t>competencies</w:t>
      </w:r>
      <w:r w:rsidR="00811857">
        <w:rPr>
          <w:rFonts w:ascii="Times New Roman" w:hAnsi="Times New Roman"/>
          <w:sz w:val="24"/>
          <w:szCs w:val="24"/>
        </w:rPr>
        <w:t xml:space="preserve"> that make up this model.</w:t>
      </w:r>
    </w:p>
    <w:p w14:paraId="3717100E" w14:textId="77777777" w:rsidR="00811857" w:rsidRDefault="00811857" w:rsidP="00811857">
      <w:pPr>
        <w:keepNext/>
        <w:jc w:val="center"/>
      </w:pPr>
      <w:r>
        <w:rPr>
          <w:rFonts w:ascii="Times New Roman" w:hAnsi="Times New Roman"/>
          <w:noProof/>
          <w:sz w:val="24"/>
          <w:szCs w:val="24"/>
        </w:rPr>
        <w:drawing>
          <wp:inline distT="0" distB="0" distL="0" distR="0" wp14:anchorId="45C406BD" wp14:editId="0C43569B">
            <wp:extent cx="4365826" cy="5038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D Areas of Experti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7086" cy="5051720"/>
                    </a:xfrm>
                    <a:prstGeom prst="rect">
                      <a:avLst/>
                    </a:prstGeom>
                  </pic:spPr>
                </pic:pic>
              </a:graphicData>
            </a:graphic>
          </wp:inline>
        </w:drawing>
      </w:r>
    </w:p>
    <w:p w14:paraId="0ACFBE5C" w14:textId="77777777" w:rsidR="009206B9" w:rsidRDefault="00811857" w:rsidP="00811857">
      <w:pPr>
        <w:pStyle w:val="Caption"/>
        <w:spacing w:line="276" w:lineRule="auto"/>
        <w:jc w:val="center"/>
      </w:pPr>
      <w:bookmarkStart w:id="9" w:name="_Ref394250221"/>
      <w:r>
        <w:t xml:space="preserve">Figure </w:t>
      </w:r>
      <w:fldSimple w:instr=" SEQ Figure \* ARABIC ">
        <w:r>
          <w:rPr>
            <w:noProof/>
          </w:rPr>
          <w:t>1</w:t>
        </w:r>
      </w:fldSimple>
      <w:bookmarkEnd w:id="9"/>
      <w:r>
        <w:t xml:space="preserve"> - </w:t>
      </w:r>
      <w:r w:rsidRPr="004C557A">
        <w:t>© 2013 by The American Society for Training &amp; Development (ASTD). All Rights Reserved.</w:t>
      </w:r>
    </w:p>
    <w:p w14:paraId="5EC677A8" w14:textId="77777777" w:rsidR="00811857" w:rsidRDefault="00811857" w:rsidP="00811857">
      <w:pPr>
        <w:rPr>
          <w:rFonts w:ascii="Times New Roman" w:hAnsi="Times New Roman"/>
          <w:sz w:val="24"/>
          <w:szCs w:val="24"/>
        </w:rPr>
      </w:pPr>
      <w:r>
        <w:rPr>
          <w:rFonts w:ascii="Times New Roman" w:hAnsi="Times New Roman"/>
          <w:sz w:val="24"/>
          <w:szCs w:val="24"/>
        </w:rPr>
        <w:t xml:space="preserve">The </w:t>
      </w:r>
      <w:r w:rsidR="007C542D">
        <w:rPr>
          <w:rFonts w:ascii="Times New Roman" w:hAnsi="Times New Roman"/>
          <w:sz w:val="24"/>
          <w:szCs w:val="24"/>
        </w:rPr>
        <w:t xml:space="preserve">competencies presented in this model are important for educators of any profession. They guide us in describing and improving organization performance through training and development activities; and, help us identify the knowledge, skills, and behaviors our learners </w:t>
      </w:r>
      <w:r w:rsidR="007C542D">
        <w:rPr>
          <w:rFonts w:ascii="Times New Roman" w:hAnsi="Times New Roman"/>
          <w:sz w:val="24"/>
          <w:szCs w:val="24"/>
        </w:rPr>
        <w:lastRenderedPageBreak/>
        <w:t>need to be successful performers</w:t>
      </w:r>
      <w:r w:rsidR="002A698C">
        <w:rPr>
          <w:rStyle w:val="FootnoteReference"/>
          <w:rFonts w:ascii="Times New Roman" w:hAnsi="Times New Roman"/>
          <w:sz w:val="24"/>
          <w:szCs w:val="24"/>
        </w:rPr>
        <w:footnoteReference w:id="2"/>
      </w:r>
      <w:r w:rsidR="007C542D">
        <w:rPr>
          <w:rFonts w:ascii="Times New Roman" w:hAnsi="Times New Roman"/>
          <w:sz w:val="24"/>
          <w:szCs w:val="24"/>
        </w:rPr>
        <w:t xml:space="preserve">. ASTD provides us with </w:t>
      </w:r>
      <w:r w:rsidR="002A698C">
        <w:rPr>
          <w:rFonts w:ascii="Times New Roman" w:hAnsi="Times New Roman"/>
          <w:sz w:val="24"/>
          <w:szCs w:val="24"/>
        </w:rPr>
        <w:fldChar w:fldCharType="begin"/>
      </w:r>
      <w:r w:rsidR="002A698C">
        <w:rPr>
          <w:rFonts w:ascii="Times New Roman" w:hAnsi="Times New Roman"/>
          <w:sz w:val="24"/>
          <w:szCs w:val="24"/>
        </w:rPr>
        <w:instrText xml:space="preserve"> REF _Ref394250196 \h </w:instrText>
      </w:r>
      <w:r w:rsidR="002A698C">
        <w:rPr>
          <w:rFonts w:ascii="Times New Roman" w:hAnsi="Times New Roman"/>
          <w:sz w:val="24"/>
          <w:szCs w:val="24"/>
        </w:rPr>
      </w:r>
      <w:r w:rsidR="002A698C">
        <w:rPr>
          <w:rFonts w:ascii="Times New Roman" w:hAnsi="Times New Roman"/>
          <w:sz w:val="24"/>
          <w:szCs w:val="24"/>
        </w:rPr>
        <w:fldChar w:fldCharType="separate"/>
      </w:r>
      <w:r w:rsidR="002A698C">
        <w:t xml:space="preserve">Table </w:t>
      </w:r>
      <w:r w:rsidR="002A698C">
        <w:rPr>
          <w:noProof/>
        </w:rPr>
        <w:t>1</w:t>
      </w:r>
      <w:r w:rsidR="002A698C">
        <w:rPr>
          <w:rFonts w:ascii="Times New Roman" w:hAnsi="Times New Roman"/>
          <w:sz w:val="24"/>
          <w:szCs w:val="24"/>
        </w:rPr>
        <w:fldChar w:fldCharType="end"/>
      </w:r>
      <w:r w:rsidR="002A698C">
        <w:rPr>
          <w:rFonts w:ascii="Times New Roman" w:hAnsi="Times New Roman"/>
          <w:sz w:val="24"/>
          <w:szCs w:val="24"/>
        </w:rPr>
        <w:t xml:space="preserve"> </w:t>
      </w:r>
      <w:r w:rsidR="007C542D">
        <w:rPr>
          <w:rFonts w:ascii="Times New Roman" w:hAnsi="Times New Roman"/>
          <w:sz w:val="24"/>
          <w:szCs w:val="24"/>
        </w:rPr>
        <w:t>as an outline about each competency.</w:t>
      </w:r>
    </w:p>
    <w:p w14:paraId="7EE9569F" w14:textId="77777777" w:rsidR="007C542D" w:rsidRDefault="007C542D" w:rsidP="007C542D">
      <w:pPr>
        <w:keepNext/>
        <w:jc w:val="center"/>
      </w:pPr>
      <w:r>
        <w:rPr>
          <w:rFonts w:ascii="Times New Roman" w:hAnsi="Times New Roman"/>
          <w:noProof/>
          <w:sz w:val="24"/>
          <w:szCs w:val="24"/>
        </w:rPr>
        <w:lastRenderedPageBreak/>
        <w:drawing>
          <wp:inline distT="0" distB="0" distL="0" distR="0" wp14:anchorId="0E5E38E6" wp14:editId="4FB9990F">
            <wp:extent cx="4324350" cy="53967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E for the TandD Profession.png"/>
                    <pic:cNvPicPr/>
                  </pic:nvPicPr>
                  <pic:blipFill>
                    <a:blip r:embed="rId12">
                      <a:extLst>
                        <a:ext uri="{28A0092B-C50C-407E-A947-70E740481C1C}">
                          <a14:useLocalDpi xmlns:a14="http://schemas.microsoft.com/office/drawing/2010/main" val="0"/>
                        </a:ext>
                      </a:extLst>
                    </a:blip>
                    <a:stretch>
                      <a:fillRect/>
                    </a:stretch>
                  </pic:blipFill>
                  <pic:spPr>
                    <a:xfrm>
                      <a:off x="0" y="0"/>
                      <a:ext cx="4328095" cy="5401460"/>
                    </a:xfrm>
                    <a:prstGeom prst="rect">
                      <a:avLst/>
                    </a:prstGeom>
                  </pic:spPr>
                </pic:pic>
              </a:graphicData>
            </a:graphic>
          </wp:inline>
        </w:drawing>
      </w:r>
    </w:p>
    <w:p w14:paraId="58AD15DC" w14:textId="77777777" w:rsidR="007C542D" w:rsidRDefault="007C542D" w:rsidP="007C542D">
      <w:pPr>
        <w:pStyle w:val="Caption"/>
        <w:spacing w:line="276" w:lineRule="auto"/>
        <w:jc w:val="center"/>
        <w:rPr>
          <w:rFonts w:ascii="Times New Roman" w:hAnsi="Times New Roman"/>
          <w:sz w:val="24"/>
          <w:szCs w:val="24"/>
        </w:rPr>
      </w:pPr>
      <w:bookmarkStart w:id="10" w:name="_Ref394250196"/>
      <w:bookmarkStart w:id="11" w:name="_Ref394250116"/>
      <w:r>
        <w:t xml:space="preserve">Table </w:t>
      </w:r>
      <w:fldSimple w:instr=" SEQ Table \* ARABIC ">
        <w:r>
          <w:rPr>
            <w:noProof/>
          </w:rPr>
          <w:t>1</w:t>
        </w:r>
      </w:fldSimple>
      <w:bookmarkEnd w:id="10"/>
      <w:r>
        <w:t xml:space="preserve"> - </w:t>
      </w:r>
      <w:r w:rsidRPr="009967D9">
        <w:t>© 2013 by The American Society for Training &amp; Developme</w:t>
      </w:r>
      <w:r>
        <w:t>nt (ASTD). All Rights Reserved.</w:t>
      </w:r>
      <w:bookmarkEnd w:id="11"/>
    </w:p>
    <w:p w14:paraId="032C7BC2" w14:textId="77777777" w:rsidR="00961FA8" w:rsidRDefault="009C3036" w:rsidP="009206B9">
      <w:pPr>
        <w:rPr>
          <w:rFonts w:ascii="Times New Roman" w:hAnsi="Times New Roman"/>
          <w:sz w:val="24"/>
          <w:szCs w:val="24"/>
        </w:rPr>
      </w:pPr>
      <w:r w:rsidRPr="00E1537C">
        <w:rPr>
          <w:rFonts w:ascii="Times New Roman" w:hAnsi="Times New Roman"/>
          <w:sz w:val="24"/>
          <w:szCs w:val="24"/>
        </w:rPr>
        <w:t xml:space="preserve">As educators, we can use The ASTD Competency Model to create balance in adult learning </w:t>
      </w:r>
      <w:r w:rsidR="00961FA8" w:rsidRPr="00E1537C">
        <w:rPr>
          <w:rFonts w:ascii="Times New Roman" w:hAnsi="Times New Roman"/>
          <w:sz w:val="24"/>
          <w:szCs w:val="24"/>
        </w:rPr>
        <w:t>by using strategies that are going to engage and challenge learners based upon their experiences and needs. In addition, the model aids educators in creating learning environments that allow learners to freely express their thoughts and ideas, as well as ask questions and accept the training provided so they perform successfully in the roles for which they have been hired</w:t>
      </w:r>
      <w:r w:rsidR="00E1537C" w:rsidRPr="00E1537C">
        <w:rPr>
          <w:rFonts w:ascii="Times New Roman" w:hAnsi="Times New Roman"/>
          <w:sz w:val="24"/>
          <w:szCs w:val="24"/>
        </w:rPr>
        <w:t>. When we set a climate that is cooperative in nature, we allow students to learn for themselves, but have guidance and support from us when needed.</w:t>
      </w:r>
    </w:p>
    <w:p w14:paraId="5C9464FE" w14:textId="77777777" w:rsidR="00B64EFA" w:rsidRDefault="00F26908" w:rsidP="00F26908">
      <w:pPr>
        <w:rPr>
          <w:rFonts w:ascii="Times New Roman" w:eastAsia="Times New Roman" w:hAnsi="Times New Roman"/>
          <w:color w:val="000000"/>
          <w:sz w:val="24"/>
          <w:szCs w:val="24"/>
        </w:rPr>
      </w:pPr>
      <w:r w:rsidRPr="00F26908">
        <w:rPr>
          <w:rFonts w:ascii="Times New Roman" w:hAnsi="Times New Roman"/>
          <w:sz w:val="24"/>
          <w:szCs w:val="24"/>
        </w:rPr>
        <w:lastRenderedPageBreak/>
        <w:t xml:space="preserve">While it is important to create a learning environment that is safe, hands-on, and non-threatening, we also must make sure we know our audience. </w:t>
      </w:r>
      <w:r w:rsidRPr="00F26908">
        <w:rPr>
          <w:rFonts w:ascii="Times New Roman" w:hAnsi="Times New Roman"/>
          <w:color w:val="000000"/>
          <w:sz w:val="24"/>
          <w:szCs w:val="24"/>
          <w:shd w:val="clear" w:color="auto" w:fill="FFFFFF"/>
        </w:rPr>
        <w:t xml:space="preserve">The more we learn about our students’ backgrounds and learning needs, the more efficient and effective we become as educators. This includes learning more about their language, culture, values, family, and home environment. This knowledge will help us to better support our students in the classroom; and, know what type of support and challenges our learners face outside the classroom. </w:t>
      </w:r>
      <w:r>
        <w:rPr>
          <w:rFonts w:ascii="Times New Roman" w:hAnsi="Times New Roman"/>
          <w:sz w:val="24"/>
          <w:szCs w:val="24"/>
        </w:rPr>
        <w:t>As an educator, k</w:t>
      </w:r>
      <w:r w:rsidRPr="00F26908">
        <w:rPr>
          <w:rFonts w:ascii="Times New Roman" w:hAnsi="Times New Roman"/>
          <w:sz w:val="24"/>
          <w:szCs w:val="24"/>
        </w:rPr>
        <w:t xml:space="preserve">nowing who your audience is, why they are participating in the learning process, and the conditions needed to enhance their learning experience is vital to our success as educators </w:t>
      </w:r>
      <w:r w:rsidRPr="00F26908">
        <w:rPr>
          <w:rFonts w:ascii="Times New Roman" w:eastAsia="Times New Roman" w:hAnsi="Times New Roman"/>
          <w:color w:val="000000"/>
          <w:sz w:val="24"/>
          <w:szCs w:val="24"/>
        </w:rPr>
        <w:t>(Merriam, Caffarella, &amp; Baumgartner, 2007, p. 53)</w:t>
      </w:r>
      <w:r>
        <w:rPr>
          <w:rStyle w:val="FootnoteReference"/>
          <w:rFonts w:ascii="Times New Roman" w:eastAsia="Times New Roman" w:hAnsi="Times New Roman"/>
          <w:color w:val="000000"/>
          <w:sz w:val="24"/>
          <w:szCs w:val="24"/>
        </w:rPr>
        <w:footnoteReference w:id="3"/>
      </w:r>
      <w:r w:rsidRPr="00F26908">
        <w:rPr>
          <w:rFonts w:ascii="Times New Roman" w:eastAsia="Times New Roman" w:hAnsi="Times New Roman"/>
          <w:color w:val="000000"/>
          <w:sz w:val="24"/>
          <w:szCs w:val="24"/>
        </w:rPr>
        <w:t>. As Cunningham points out, “Socially responsible adult educators need to become aware of the social as well as personal dimensions of learning and the capacity of education to respond” (Merriam, Caffarella, &amp; Baumgartner, 2007, p. 71).</w:t>
      </w:r>
    </w:p>
    <w:p w14:paraId="43F341DC" w14:textId="77777777" w:rsidR="00B64EFA" w:rsidRPr="00B64EFA" w:rsidRDefault="00B64EFA" w:rsidP="00B64EFA">
      <w:pPr>
        <w:rPr>
          <w:rFonts w:ascii="Times New Roman" w:eastAsia="Times New Roman" w:hAnsi="Times New Roman"/>
          <w:color w:val="000000"/>
          <w:sz w:val="24"/>
          <w:szCs w:val="24"/>
        </w:rPr>
      </w:pPr>
      <w:r w:rsidRPr="00B64EFA">
        <w:rPr>
          <w:rFonts w:ascii="Times New Roman" w:eastAsia="Times New Roman" w:hAnsi="Times New Roman"/>
          <w:color w:val="000000"/>
          <w:sz w:val="24"/>
          <w:szCs w:val="24"/>
        </w:rPr>
        <w:t xml:space="preserve">In today’s society, now that social media and technology have become conventional modes of </w:t>
      </w:r>
      <w:r w:rsidR="00BF2B53">
        <w:rPr>
          <w:rFonts w:ascii="Times New Roman" w:eastAsia="Times New Roman" w:hAnsi="Times New Roman"/>
          <w:color w:val="000000"/>
          <w:sz w:val="24"/>
          <w:szCs w:val="24"/>
        </w:rPr>
        <w:t xml:space="preserve">informal </w:t>
      </w:r>
      <w:r w:rsidRPr="00B64EFA">
        <w:rPr>
          <w:rFonts w:ascii="Times New Roman" w:eastAsia="Times New Roman" w:hAnsi="Times New Roman"/>
          <w:color w:val="000000"/>
          <w:sz w:val="24"/>
          <w:szCs w:val="24"/>
        </w:rPr>
        <w:t>communication, we can incorporate many activities, such as creating infographs, blogs, using social media sites like LinkedIn, etc., into our classrooms to gain knowledge about our students. I think it is a good idea to ask them about their backgrounds, how they learn best, what was their b</w:t>
      </w:r>
      <w:r w:rsidR="00945525">
        <w:rPr>
          <w:rFonts w:ascii="Times New Roman" w:eastAsia="Times New Roman" w:hAnsi="Times New Roman"/>
          <w:color w:val="000000"/>
          <w:sz w:val="24"/>
          <w:szCs w:val="24"/>
        </w:rPr>
        <w:t>est experience with an educator</w:t>
      </w:r>
      <w:r w:rsidRPr="00B64EFA">
        <w:rPr>
          <w:rFonts w:ascii="Times New Roman" w:eastAsia="Times New Roman" w:hAnsi="Times New Roman"/>
          <w:color w:val="000000"/>
          <w:sz w:val="24"/>
          <w:szCs w:val="24"/>
        </w:rPr>
        <w:t xml:space="preserve">, and then their worst. </w:t>
      </w:r>
      <w:r>
        <w:rPr>
          <w:rFonts w:ascii="Times New Roman" w:eastAsia="Times New Roman" w:hAnsi="Times New Roman"/>
          <w:color w:val="000000"/>
          <w:sz w:val="24"/>
          <w:szCs w:val="24"/>
        </w:rPr>
        <w:t xml:space="preserve">Currently, </w:t>
      </w:r>
      <w:r w:rsidRPr="00B64EFA">
        <w:rPr>
          <w:rFonts w:ascii="Times New Roman" w:eastAsia="Times New Roman" w:hAnsi="Times New Roman"/>
          <w:color w:val="000000"/>
          <w:sz w:val="24"/>
          <w:szCs w:val="24"/>
        </w:rPr>
        <w:t xml:space="preserve">we use Live Meeting, or Adobe Connect, and have small breakout sessions so that we don’t just get to know our students, but they also gain knowledge about one another. One thing I love to do when I have them breakout into smaller groups is have them learn about one another, and then they choose a speaker to present the information to the group. I rotate things around throughout the course so that, eventually, everyone has presented in my class. I will also have them do team presentations where they may have to research a topic or product and then present it back to the group as a whole. I incorporate role plays and other activities where I am not always talking at them, but they are sharing in the learning process. My goal is to do enough activities and research that gives me </w:t>
      </w:r>
      <w:r w:rsidR="00945525">
        <w:rPr>
          <w:rFonts w:ascii="Times New Roman" w:eastAsia="Times New Roman" w:hAnsi="Times New Roman"/>
          <w:color w:val="000000"/>
          <w:sz w:val="24"/>
          <w:szCs w:val="24"/>
        </w:rPr>
        <w:t xml:space="preserve">the </w:t>
      </w:r>
      <w:r w:rsidRPr="00B64EFA">
        <w:rPr>
          <w:rFonts w:ascii="Times New Roman" w:eastAsia="Times New Roman" w:hAnsi="Times New Roman"/>
          <w:color w:val="000000"/>
          <w:sz w:val="24"/>
          <w:szCs w:val="24"/>
        </w:rPr>
        <w:t xml:space="preserve">insight to how my students perceive and process information. By doing the activities that I listed, I don’t just get to know my learners, but they also get to know me.  </w:t>
      </w:r>
    </w:p>
    <w:p w14:paraId="663280BE" w14:textId="77777777" w:rsidR="00B64EFA" w:rsidRPr="00F26908" w:rsidRDefault="00B64EFA" w:rsidP="00F26908">
      <w:pPr>
        <w:rPr>
          <w:rFonts w:ascii="Times New Roman" w:hAnsi="Times New Roman"/>
          <w:sz w:val="24"/>
          <w:szCs w:val="24"/>
        </w:rPr>
      </w:pPr>
    </w:p>
    <w:p w14:paraId="3A81E179" w14:textId="77777777" w:rsidR="009206B9" w:rsidRDefault="00B64EFA" w:rsidP="009206B9">
      <w:pPr>
        <w:rPr>
          <w:rFonts w:ascii="Times New Roman" w:hAnsi="Times New Roman"/>
          <w:sz w:val="24"/>
          <w:szCs w:val="24"/>
        </w:rPr>
      </w:pPr>
      <w:r>
        <w:rPr>
          <w:rFonts w:ascii="Times New Roman" w:hAnsi="Times New Roman"/>
          <w:sz w:val="24"/>
          <w:szCs w:val="24"/>
        </w:rPr>
        <w:t>In formal settings, educators have become fond of Think-Pair-Share, a</w:t>
      </w:r>
      <w:r w:rsidR="009206B9">
        <w:rPr>
          <w:rFonts w:ascii="Times New Roman" w:hAnsi="Times New Roman"/>
          <w:sz w:val="24"/>
          <w:szCs w:val="24"/>
        </w:rPr>
        <w:t xml:space="preserve"> collaborative learning strategy developed by Frank Lyman and his colleagues in Maryland</w:t>
      </w:r>
      <w:r w:rsidR="00811857">
        <w:rPr>
          <w:rStyle w:val="FootnoteReference"/>
          <w:rFonts w:ascii="Times New Roman" w:hAnsi="Times New Roman"/>
          <w:sz w:val="24"/>
          <w:szCs w:val="24"/>
        </w:rPr>
        <w:footnoteReference w:id="4"/>
      </w:r>
      <w:r w:rsidR="009206B9">
        <w:rPr>
          <w:rFonts w:ascii="Times New Roman" w:hAnsi="Times New Roman"/>
          <w:sz w:val="24"/>
          <w:szCs w:val="24"/>
        </w:rPr>
        <w:t xml:space="preserve">. It is low-risk because it helps learners stay focused on the content being presented, which also helps to prevent off-task thinking and behavior. Accountability is built in as each learner takes responsibility for their feedback and actions. </w:t>
      </w:r>
    </w:p>
    <w:p w14:paraId="23B3C0BE" w14:textId="77777777" w:rsidR="009206B9" w:rsidRDefault="009206B9" w:rsidP="009206B9">
      <w:pPr>
        <w:rPr>
          <w:rFonts w:ascii="Times New Roman" w:hAnsi="Times New Roman"/>
          <w:sz w:val="24"/>
          <w:szCs w:val="24"/>
        </w:rPr>
      </w:pPr>
      <w:r>
        <w:rPr>
          <w:rFonts w:ascii="Times New Roman" w:hAnsi="Times New Roman"/>
          <w:sz w:val="24"/>
          <w:szCs w:val="24"/>
        </w:rPr>
        <w:t xml:space="preserve">For example, an </w:t>
      </w:r>
      <w:r w:rsidRPr="00374523">
        <w:rPr>
          <w:rFonts w:ascii="Times New Roman" w:hAnsi="Times New Roman"/>
          <w:sz w:val="24"/>
          <w:szCs w:val="24"/>
        </w:rPr>
        <w:t xml:space="preserve">instructor poses a question, </w:t>
      </w:r>
      <w:r>
        <w:rPr>
          <w:rFonts w:ascii="Times New Roman" w:hAnsi="Times New Roman"/>
          <w:sz w:val="24"/>
          <w:szCs w:val="24"/>
        </w:rPr>
        <w:t xml:space="preserve">and then </w:t>
      </w:r>
      <w:r w:rsidRPr="00374523">
        <w:rPr>
          <w:rFonts w:ascii="Times New Roman" w:hAnsi="Times New Roman"/>
          <w:sz w:val="24"/>
          <w:szCs w:val="24"/>
        </w:rPr>
        <w:t xml:space="preserve">provides </w:t>
      </w:r>
      <w:r>
        <w:rPr>
          <w:rFonts w:ascii="Times New Roman" w:hAnsi="Times New Roman"/>
          <w:sz w:val="24"/>
          <w:szCs w:val="24"/>
        </w:rPr>
        <w:t>time for learners</w:t>
      </w:r>
      <w:r w:rsidRPr="00471170">
        <w:rPr>
          <w:rFonts w:ascii="Times New Roman" w:hAnsi="Times New Roman"/>
          <w:i/>
          <w:sz w:val="24"/>
          <w:szCs w:val="24"/>
        </w:rPr>
        <w:t xml:space="preserve"> </w:t>
      </w:r>
      <w:r w:rsidRPr="00416639">
        <w:rPr>
          <w:rFonts w:ascii="Times New Roman" w:hAnsi="Times New Roman"/>
          <w:sz w:val="24"/>
          <w:szCs w:val="24"/>
        </w:rPr>
        <w:t>to think</w:t>
      </w:r>
      <w:r w:rsidRPr="00374523">
        <w:rPr>
          <w:rFonts w:ascii="Times New Roman" w:hAnsi="Times New Roman"/>
          <w:sz w:val="24"/>
          <w:szCs w:val="24"/>
        </w:rPr>
        <w:t xml:space="preserve"> </w:t>
      </w:r>
      <w:r w:rsidR="009456EA">
        <w:rPr>
          <w:rFonts w:ascii="Times New Roman" w:hAnsi="Times New Roman"/>
          <w:sz w:val="24"/>
          <w:szCs w:val="24"/>
        </w:rPr>
        <w:t xml:space="preserve">about </w:t>
      </w:r>
      <w:r>
        <w:rPr>
          <w:rFonts w:ascii="Times New Roman" w:hAnsi="Times New Roman"/>
          <w:sz w:val="24"/>
          <w:szCs w:val="24"/>
        </w:rPr>
        <w:t xml:space="preserve">the subject matter </w:t>
      </w:r>
      <w:r w:rsidRPr="00374523">
        <w:rPr>
          <w:rFonts w:ascii="Times New Roman" w:hAnsi="Times New Roman"/>
          <w:sz w:val="24"/>
          <w:szCs w:val="24"/>
        </w:rPr>
        <w:t>individually (</w:t>
      </w:r>
      <w:r w:rsidRPr="00416639">
        <w:rPr>
          <w:rFonts w:ascii="Times New Roman" w:hAnsi="Times New Roman"/>
          <w:b/>
          <w:i/>
          <w:sz w:val="24"/>
          <w:szCs w:val="24"/>
        </w:rPr>
        <w:t>Think</w:t>
      </w:r>
      <w:r>
        <w:rPr>
          <w:rFonts w:ascii="Times New Roman" w:hAnsi="Times New Roman"/>
          <w:sz w:val="24"/>
          <w:szCs w:val="24"/>
        </w:rPr>
        <w:t>). The instructor then</w:t>
      </w:r>
      <w:r w:rsidRPr="00374523">
        <w:rPr>
          <w:rFonts w:ascii="Times New Roman" w:hAnsi="Times New Roman"/>
          <w:sz w:val="24"/>
          <w:szCs w:val="24"/>
        </w:rPr>
        <w:t xml:space="preserve"> asks </w:t>
      </w:r>
      <w:r>
        <w:rPr>
          <w:rFonts w:ascii="Times New Roman" w:hAnsi="Times New Roman"/>
          <w:sz w:val="24"/>
          <w:szCs w:val="24"/>
        </w:rPr>
        <w:t>lea</w:t>
      </w:r>
      <w:r w:rsidR="00945525">
        <w:rPr>
          <w:rFonts w:ascii="Times New Roman" w:hAnsi="Times New Roman"/>
          <w:sz w:val="24"/>
          <w:szCs w:val="24"/>
        </w:rPr>
        <w:t>r</w:t>
      </w:r>
      <w:r>
        <w:rPr>
          <w:rFonts w:ascii="Times New Roman" w:hAnsi="Times New Roman"/>
          <w:sz w:val="24"/>
          <w:szCs w:val="24"/>
        </w:rPr>
        <w:t>ners</w:t>
      </w:r>
      <w:r w:rsidRPr="00374523">
        <w:rPr>
          <w:rFonts w:ascii="Times New Roman" w:hAnsi="Times New Roman"/>
          <w:sz w:val="24"/>
          <w:szCs w:val="24"/>
        </w:rPr>
        <w:t xml:space="preserve"> to discuss the </w:t>
      </w:r>
      <w:r>
        <w:rPr>
          <w:rFonts w:ascii="Times New Roman" w:hAnsi="Times New Roman"/>
          <w:sz w:val="24"/>
          <w:szCs w:val="24"/>
        </w:rPr>
        <w:t>subject matter</w:t>
      </w:r>
      <w:r w:rsidRPr="00374523">
        <w:rPr>
          <w:rFonts w:ascii="Times New Roman" w:hAnsi="Times New Roman"/>
          <w:sz w:val="24"/>
          <w:szCs w:val="24"/>
        </w:rPr>
        <w:t xml:space="preserve"> with a partner (</w:t>
      </w:r>
      <w:r w:rsidRPr="00416639">
        <w:rPr>
          <w:rFonts w:ascii="Times New Roman" w:hAnsi="Times New Roman"/>
          <w:b/>
          <w:i/>
          <w:sz w:val="24"/>
          <w:szCs w:val="24"/>
        </w:rPr>
        <w:t>Pair</w:t>
      </w:r>
      <w:r>
        <w:rPr>
          <w:rFonts w:ascii="Times New Roman" w:hAnsi="Times New Roman"/>
          <w:sz w:val="24"/>
          <w:szCs w:val="24"/>
        </w:rPr>
        <w:t>). Finally, the instructor invites the group to come back together</w:t>
      </w:r>
      <w:r w:rsidRPr="00374523">
        <w:rPr>
          <w:rFonts w:ascii="Times New Roman" w:hAnsi="Times New Roman"/>
          <w:sz w:val="24"/>
          <w:szCs w:val="24"/>
        </w:rPr>
        <w:t xml:space="preserve"> and participate in a whole-group discussion of the </w:t>
      </w:r>
      <w:r>
        <w:rPr>
          <w:rFonts w:ascii="Times New Roman" w:hAnsi="Times New Roman"/>
          <w:sz w:val="24"/>
          <w:szCs w:val="24"/>
        </w:rPr>
        <w:t>subject matter</w:t>
      </w:r>
      <w:r w:rsidRPr="00374523">
        <w:rPr>
          <w:rFonts w:ascii="Times New Roman" w:hAnsi="Times New Roman"/>
          <w:sz w:val="24"/>
          <w:szCs w:val="24"/>
        </w:rPr>
        <w:t xml:space="preserve"> (</w:t>
      </w:r>
      <w:r w:rsidRPr="00416639">
        <w:rPr>
          <w:rFonts w:ascii="Times New Roman" w:hAnsi="Times New Roman"/>
          <w:b/>
          <w:i/>
          <w:sz w:val="24"/>
          <w:szCs w:val="24"/>
        </w:rPr>
        <w:t>Share</w:t>
      </w:r>
      <w:r w:rsidRPr="00374523">
        <w:rPr>
          <w:rFonts w:ascii="Times New Roman" w:hAnsi="Times New Roman"/>
          <w:sz w:val="24"/>
          <w:szCs w:val="24"/>
        </w:rPr>
        <w:t xml:space="preserve">). </w:t>
      </w:r>
    </w:p>
    <w:p w14:paraId="41F5EE13" w14:textId="77777777" w:rsidR="00941D6E" w:rsidRDefault="009206B9" w:rsidP="009206B9">
      <w:pPr>
        <w:rPr>
          <w:rFonts w:ascii="Times New Roman" w:hAnsi="Times New Roman"/>
          <w:sz w:val="24"/>
          <w:szCs w:val="24"/>
        </w:rPr>
      </w:pPr>
      <w:r>
        <w:rPr>
          <w:rFonts w:ascii="Times New Roman" w:hAnsi="Times New Roman"/>
          <w:sz w:val="24"/>
          <w:szCs w:val="24"/>
        </w:rPr>
        <w:t>This learning strategy can be used for various subjects before, during, and at the end of instruction. It</w:t>
      </w:r>
      <w:r w:rsidRPr="00374523">
        <w:rPr>
          <w:rFonts w:ascii="Times New Roman" w:hAnsi="Times New Roman"/>
          <w:sz w:val="24"/>
          <w:szCs w:val="24"/>
        </w:rPr>
        <w:t xml:space="preserve"> engages students individually, in pairs, and </w:t>
      </w:r>
      <w:r>
        <w:rPr>
          <w:rFonts w:ascii="Times New Roman" w:hAnsi="Times New Roman"/>
          <w:sz w:val="24"/>
          <w:szCs w:val="24"/>
        </w:rPr>
        <w:t xml:space="preserve">as a class as they think about a topic or answer to a question posed by the instructor. In addition, the </w:t>
      </w:r>
      <w:r w:rsidRPr="00374523">
        <w:rPr>
          <w:rFonts w:ascii="Times New Roman" w:hAnsi="Times New Roman"/>
          <w:sz w:val="24"/>
          <w:szCs w:val="24"/>
        </w:rPr>
        <w:t xml:space="preserve">structure </w:t>
      </w:r>
      <w:r>
        <w:rPr>
          <w:rFonts w:ascii="Times New Roman" w:hAnsi="Times New Roman"/>
          <w:sz w:val="24"/>
          <w:szCs w:val="24"/>
        </w:rPr>
        <w:t xml:space="preserve">provided by this learning activity helps to eliminate </w:t>
      </w:r>
      <w:r w:rsidRPr="00374523">
        <w:rPr>
          <w:rFonts w:ascii="Times New Roman" w:hAnsi="Times New Roman"/>
          <w:sz w:val="24"/>
          <w:szCs w:val="24"/>
        </w:rPr>
        <w:t>the problem of only the most verbal students participating in a discussion.</w:t>
      </w:r>
    </w:p>
    <w:p w14:paraId="12BB1976" w14:textId="77777777" w:rsidR="002E5D01" w:rsidRPr="002E5D01" w:rsidRDefault="002E5D01" w:rsidP="002E5D01">
      <w:pPr>
        <w:pStyle w:val="NormalWeb"/>
        <w:spacing w:before="0" w:beforeAutospacing="0" w:after="200" w:afterAutospacing="0" w:line="276" w:lineRule="auto"/>
      </w:pPr>
      <w:r>
        <w:t>In regards to ethics and values as they pertain to the adult learner, I like to rely on the twelve-point “Bill of Rights for the Adult Learner</w:t>
      </w:r>
      <w:r w:rsidR="000F373D">
        <w:t>.</w:t>
      </w:r>
      <w:r>
        <w:t>”</w:t>
      </w:r>
      <w:r w:rsidR="000F373D">
        <w:t xml:space="preserve"> Published on February 21, 1991</w:t>
      </w:r>
      <w:r>
        <w:t xml:space="preserve"> by the Board of Directors of the Coalition of Adult Education Organizations</w:t>
      </w:r>
      <w:r w:rsidR="000F373D">
        <w:t>, they state “</w:t>
      </w:r>
      <w:r w:rsidRPr="002E5D01">
        <w:t xml:space="preserve">institutions and agencies of a democratic society </w:t>
      </w:r>
      <w:r w:rsidR="000F373D">
        <w:t>should</w:t>
      </w:r>
      <w:r w:rsidRPr="002E5D01">
        <w:t xml:space="preserve"> strive to assure the following rights are possessed by all </w:t>
      </w:r>
      <w:r w:rsidR="000F373D">
        <w:t xml:space="preserve">who have adult responsibilities </w:t>
      </w:r>
      <w:r w:rsidRPr="002E5D01">
        <w:t>and who seek to learn in any setting</w:t>
      </w:r>
      <w:r w:rsidR="00EA55F9">
        <w:t xml:space="preserve"> (p. 104)</w:t>
      </w:r>
      <w:r w:rsidRPr="002E5D01">
        <w:t>:</w:t>
      </w:r>
    </w:p>
    <w:p w14:paraId="2ECC6D14"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learn regardless of age, gender, color, ethnic or linguistic background, marital status, the presence of dependents, disability or financial circumstances.</w:t>
      </w:r>
    </w:p>
    <w:p w14:paraId="73816E5B"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equal opportunity for access to relevant learning opportunities throughout life.</w:t>
      </w:r>
    </w:p>
    <w:p w14:paraId="47738DF2"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educational leave from employment for general, as well as vocational or professional, education.</w:t>
      </w:r>
    </w:p>
    <w:p w14:paraId="3719648A"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financial aid and educational services at levels comparable to those provided for younger or full-time learners.</w:t>
      </w:r>
    </w:p>
    <w:p w14:paraId="6432E3FD"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encouragement and support in learning subject matter that the learner believes will lead to growth and self-actualization.</w:t>
      </w:r>
    </w:p>
    <w:p w14:paraId="0F61434B"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lastRenderedPageBreak/>
        <w:t>The right to a learning environment suitable for adults to include appropriate instructional materials, equipment, media and facilities.</w:t>
      </w:r>
    </w:p>
    <w:p w14:paraId="215F5AAE"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have relevant prior experiential learning evaluated and, where appropriate, recognized for academic credit toward a degree or credential.</w:t>
      </w:r>
    </w:p>
    <w:p w14:paraId="62269528"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participate or be appropriately represented in planning or selecting learning activities in which the learner is to be engaged.</w:t>
      </w:r>
    </w:p>
    <w:p w14:paraId="7D351876"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be taught by qualified and competent instructors who possess appropriate subject-matter knowledge, as well as knowledge and skills relating to the instructional needs of adults.</w:t>
      </w:r>
    </w:p>
    <w:p w14:paraId="78F86D83"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academic support resources, including instructional technology, that can make self-directed or distance learning possible.</w:t>
      </w:r>
    </w:p>
    <w:p w14:paraId="6D8E2429"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dependent care and related structures of social support.</w:t>
      </w:r>
    </w:p>
    <w:p w14:paraId="010E368E" w14:textId="77777777" w:rsidR="002E5D01" w:rsidRPr="002E5D01" w:rsidRDefault="002E5D01" w:rsidP="002E5D01">
      <w:pPr>
        <w:pStyle w:val="ListParagraph"/>
        <w:numPr>
          <w:ilvl w:val="0"/>
          <w:numId w:val="5"/>
        </w:numPr>
        <w:rPr>
          <w:rFonts w:ascii="Times New Roman" w:eastAsia="Times New Roman" w:hAnsi="Times New Roman"/>
          <w:sz w:val="24"/>
          <w:szCs w:val="24"/>
        </w:rPr>
      </w:pPr>
      <w:r w:rsidRPr="002E5D01">
        <w:rPr>
          <w:rFonts w:ascii="Times New Roman" w:eastAsia="Times New Roman" w:hAnsi="Times New Roman"/>
          <w:sz w:val="24"/>
          <w:szCs w:val="24"/>
        </w:rPr>
        <w:t>The right to individualized information and guidance leading toward further study.</w:t>
      </w:r>
      <w:r w:rsidR="00EA55F9">
        <w:rPr>
          <w:rStyle w:val="FootnoteReference"/>
          <w:rFonts w:ascii="Times New Roman" w:eastAsia="Times New Roman" w:hAnsi="Times New Roman"/>
          <w:sz w:val="24"/>
          <w:szCs w:val="24"/>
        </w:rPr>
        <w:footnoteReference w:id="5"/>
      </w:r>
      <w:r w:rsidR="000F373D">
        <w:rPr>
          <w:rFonts w:ascii="Times New Roman" w:eastAsia="Times New Roman" w:hAnsi="Times New Roman"/>
          <w:sz w:val="24"/>
          <w:szCs w:val="24"/>
        </w:rPr>
        <w:t>”</w:t>
      </w:r>
    </w:p>
    <w:p w14:paraId="194F8A3B" w14:textId="77777777" w:rsidR="00963C89" w:rsidRPr="00963C89" w:rsidRDefault="00963C89" w:rsidP="00963C89">
      <w:pPr>
        <w:tabs>
          <w:tab w:val="left" w:pos="720"/>
          <w:tab w:val="left" w:pos="960"/>
        </w:tabs>
        <w:rPr>
          <w:rFonts w:ascii="Times New Roman" w:hAnsi="Times New Roman"/>
          <w:sz w:val="24"/>
          <w:szCs w:val="24"/>
        </w:rPr>
      </w:pPr>
      <w:r w:rsidRPr="00963C89">
        <w:rPr>
          <w:rFonts w:ascii="Times New Roman" w:hAnsi="Times New Roman"/>
          <w:sz w:val="24"/>
          <w:szCs w:val="24"/>
        </w:rPr>
        <w:t xml:space="preserve">Walt Disney once said, “If we can dream it, we can do it.” I want my students to know that with hard work, belief in themselves, and self-discipline, their dreams can become a reality. </w:t>
      </w:r>
    </w:p>
    <w:p w14:paraId="1B76A618" w14:textId="77777777" w:rsidR="00963C89" w:rsidRDefault="00963C89" w:rsidP="00963C89">
      <w:pPr>
        <w:rPr>
          <w:rFonts w:ascii="Times New Roman" w:hAnsi="Times New Roman"/>
          <w:sz w:val="24"/>
          <w:szCs w:val="24"/>
        </w:rPr>
      </w:pPr>
      <w:r w:rsidRPr="00963C89">
        <w:rPr>
          <w:rFonts w:ascii="Times New Roman" w:hAnsi="Times New Roman"/>
          <w:sz w:val="24"/>
          <w:szCs w:val="24"/>
        </w:rPr>
        <w:t xml:space="preserve">My goal as an instructor is to help </w:t>
      </w:r>
      <w:r>
        <w:rPr>
          <w:rFonts w:ascii="Times New Roman" w:hAnsi="Times New Roman"/>
          <w:sz w:val="24"/>
          <w:szCs w:val="24"/>
        </w:rPr>
        <w:t>learners</w:t>
      </w:r>
      <w:r w:rsidRPr="00963C89">
        <w:rPr>
          <w:rFonts w:ascii="Times New Roman" w:hAnsi="Times New Roman"/>
          <w:sz w:val="24"/>
          <w:szCs w:val="24"/>
        </w:rPr>
        <w:t xml:space="preserve"> think independently and critically. I want my students to learn how to learn for themselves, and not be afraid to challenge the information being presented to them. I would like for </w:t>
      </w:r>
      <w:r>
        <w:rPr>
          <w:rFonts w:ascii="Times New Roman" w:hAnsi="Times New Roman"/>
          <w:sz w:val="24"/>
          <w:szCs w:val="24"/>
        </w:rPr>
        <w:t>them</w:t>
      </w:r>
      <w:r w:rsidRPr="00963C89">
        <w:rPr>
          <w:rFonts w:ascii="Times New Roman" w:hAnsi="Times New Roman"/>
          <w:sz w:val="24"/>
          <w:szCs w:val="24"/>
        </w:rPr>
        <w:t xml:space="preserve"> to share their opinions, but also be respectful and supportive of ideas presented by their peers. </w:t>
      </w:r>
      <w:r>
        <w:rPr>
          <w:rFonts w:ascii="Times New Roman" w:hAnsi="Times New Roman"/>
          <w:sz w:val="24"/>
          <w:szCs w:val="24"/>
        </w:rPr>
        <w:t>Learners should</w:t>
      </w:r>
      <w:r w:rsidRPr="00963C89">
        <w:rPr>
          <w:rFonts w:ascii="Times New Roman" w:hAnsi="Times New Roman"/>
          <w:sz w:val="24"/>
          <w:szCs w:val="24"/>
        </w:rPr>
        <w:t xml:space="preserve"> be able to communicate efficiently and effectively with others, whether verbally, visually, or in writing, as well as appreciate diverse subject matter.</w:t>
      </w:r>
    </w:p>
    <w:p w14:paraId="31CEAF96" w14:textId="77777777" w:rsidR="00963C89" w:rsidRDefault="00963C89" w:rsidP="00963C89">
      <w:pPr>
        <w:tabs>
          <w:tab w:val="left" w:pos="720"/>
          <w:tab w:val="left" w:pos="960"/>
        </w:tabs>
        <w:rPr>
          <w:rFonts w:ascii="Times New Roman" w:hAnsi="Times New Roman"/>
          <w:sz w:val="24"/>
          <w:szCs w:val="24"/>
        </w:rPr>
      </w:pPr>
      <w:r w:rsidRPr="00963C89">
        <w:rPr>
          <w:rFonts w:ascii="Times New Roman" w:hAnsi="Times New Roman"/>
          <w:sz w:val="24"/>
          <w:szCs w:val="24"/>
        </w:rPr>
        <w:t xml:space="preserve">As an educator, my role is to guide my students in the learning process and self-discovery, as well as to inspire and empower </w:t>
      </w:r>
      <w:r>
        <w:rPr>
          <w:rFonts w:ascii="Times New Roman" w:hAnsi="Times New Roman"/>
          <w:sz w:val="24"/>
          <w:szCs w:val="24"/>
        </w:rPr>
        <w:t>them</w:t>
      </w:r>
      <w:r w:rsidRPr="00963C89">
        <w:rPr>
          <w:rFonts w:ascii="Times New Roman" w:hAnsi="Times New Roman"/>
          <w:sz w:val="24"/>
          <w:szCs w:val="24"/>
        </w:rPr>
        <w:t xml:space="preserve"> to learn outside the classroom. I want to teach </w:t>
      </w:r>
      <w:r>
        <w:rPr>
          <w:rFonts w:ascii="Times New Roman" w:hAnsi="Times New Roman"/>
          <w:sz w:val="24"/>
          <w:szCs w:val="24"/>
        </w:rPr>
        <w:t xml:space="preserve">learners </w:t>
      </w:r>
      <w:r w:rsidRPr="00963C89">
        <w:rPr>
          <w:rFonts w:ascii="Times New Roman" w:hAnsi="Times New Roman"/>
          <w:sz w:val="24"/>
          <w:szCs w:val="24"/>
        </w:rPr>
        <w:t>to discover the world for themselves, realize their talents, respect others, and share their knowledge so they, and our world, continue to evolve</w:t>
      </w:r>
      <w:r w:rsidR="00945525">
        <w:rPr>
          <w:rFonts w:ascii="Times New Roman" w:hAnsi="Times New Roman"/>
          <w:sz w:val="24"/>
          <w:szCs w:val="24"/>
        </w:rPr>
        <w:t>,</w:t>
      </w:r>
      <w:r>
        <w:rPr>
          <w:rFonts w:ascii="Times New Roman" w:hAnsi="Times New Roman"/>
          <w:sz w:val="24"/>
          <w:szCs w:val="24"/>
        </w:rPr>
        <w:t xml:space="preserve"> and they are successful in their careers</w:t>
      </w:r>
      <w:r w:rsidRPr="00963C89">
        <w:rPr>
          <w:rFonts w:ascii="Times New Roman" w:hAnsi="Times New Roman"/>
          <w:sz w:val="24"/>
          <w:szCs w:val="24"/>
        </w:rPr>
        <w:t xml:space="preserve">. </w:t>
      </w:r>
    </w:p>
    <w:p w14:paraId="6132ECE9" w14:textId="77777777" w:rsidR="00EF2489" w:rsidRPr="0067318C" w:rsidRDefault="00EF2489" w:rsidP="009206B9">
      <w:pPr>
        <w:rPr>
          <w:rFonts w:ascii="Times New Roman" w:hAnsi="Times New Roman"/>
          <w:sz w:val="24"/>
          <w:szCs w:val="24"/>
        </w:rPr>
      </w:pPr>
      <w:r w:rsidRPr="0067318C">
        <w:rPr>
          <w:rFonts w:ascii="Times New Roman" w:hAnsi="Times New Roman"/>
          <w:sz w:val="24"/>
          <w:szCs w:val="24"/>
        </w:rPr>
        <w:t>Sincerely</w:t>
      </w:r>
      <w:r w:rsidR="00AA220B" w:rsidRPr="0067318C">
        <w:rPr>
          <w:rFonts w:ascii="Times New Roman" w:hAnsi="Times New Roman"/>
          <w:sz w:val="24"/>
          <w:szCs w:val="24"/>
        </w:rPr>
        <w:t xml:space="preserve">, </w:t>
      </w:r>
      <w:r w:rsidRPr="0067318C">
        <w:rPr>
          <w:rFonts w:ascii="Times New Roman" w:hAnsi="Times New Roman"/>
          <w:sz w:val="24"/>
          <w:szCs w:val="24"/>
        </w:rPr>
        <w:br/>
      </w:r>
      <w:r w:rsidR="00C71D85" w:rsidRPr="0067318C">
        <w:rPr>
          <w:rFonts w:ascii="Times New Roman" w:hAnsi="Times New Roman"/>
          <w:sz w:val="24"/>
          <w:szCs w:val="24"/>
        </w:rPr>
        <w:t>Felicia L. Jones-Shaw</w:t>
      </w:r>
    </w:p>
    <w:p w14:paraId="79B79FEA" w14:textId="77777777" w:rsidR="00EF2489" w:rsidRPr="0067318C" w:rsidRDefault="00EF2489" w:rsidP="00EF2489">
      <w:pPr>
        <w:spacing w:after="0"/>
        <w:rPr>
          <w:rFonts w:ascii="Times New Roman" w:hAnsi="Times New Roman"/>
          <w:sz w:val="24"/>
          <w:szCs w:val="24"/>
        </w:rPr>
      </w:pPr>
      <w:r w:rsidRPr="0067318C">
        <w:rPr>
          <w:rFonts w:ascii="Times New Roman" w:hAnsi="Times New Roman"/>
          <w:sz w:val="24"/>
          <w:szCs w:val="24"/>
        </w:rPr>
        <w:t xml:space="preserve">Vice President, </w:t>
      </w:r>
      <w:r w:rsidR="00B837AC" w:rsidRPr="0067318C">
        <w:rPr>
          <w:rFonts w:ascii="Times New Roman" w:hAnsi="Times New Roman"/>
          <w:sz w:val="24"/>
          <w:szCs w:val="24"/>
        </w:rPr>
        <w:t>Training and Development</w:t>
      </w:r>
      <w:r w:rsidRPr="0067318C">
        <w:rPr>
          <w:rFonts w:ascii="Times New Roman" w:hAnsi="Times New Roman"/>
          <w:sz w:val="24"/>
          <w:szCs w:val="24"/>
        </w:rPr>
        <w:br/>
      </w:r>
      <w:r w:rsidR="00C71D85" w:rsidRPr="0067318C">
        <w:rPr>
          <w:rFonts w:ascii="Times New Roman" w:hAnsi="Times New Roman"/>
          <w:sz w:val="24"/>
          <w:szCs w:val="24"/>
        </w:rPr>
        <w:t>World Financial Services</w:t>
      </w:r>
      <w:r w:rsidRPr="0067318C">
        <w:rPr>
          <w:rStyle w:val="FootnoteReference"/>
          <w:rFonts w:ascii="Times New Roman" w:hAnsi="Times New Roman"/>
          <w:sz w:val="24"/>
          <w:szCs w:val="24"/>
        </w:rPr>
        <w:footnoteReference w:id="6"/>
      </w:r>
      <w:r w:rsidRPr="0067318C">
        <w:rPr>
          <w:rFonts w:ascii="Times New Roman" w:hAnsi="Times New Roman"/>
          <w:sz w:val="24"/>
          <w:szCs w:val="24"/>
        </w:rPr>
        <w:t xml:space="preserve">  </w:t>
      </w:r>
    </w:p>
    <w:p w14:paraId="147EC082" w14:textId="77777777" w:rsidR="00EF2489" w:rsidRPr="0067318C" w:rsidRDefault="00EF2489" w:rsidP="00EF2489">
      <w:pPr>
        <w:spacing w:after="0"/>
        <w:rPr>
          <w:rFonts w:ascii="Times New Roman" w:hAnsi="Times New Roman"/>
          <w:sz w:val="24"/>
          <w:szCs w:val="24"/>
        </w:rPr>
      </w:pPr>
    </w:p>
    <w:p w14:paraId="5DABEF4D" w14:textId="77777777" w:rsidR="009456EA" w:rsidRDefault="00945525" w:rsidP="001D4A0E">
      <w:pPr>
        <w:rPr>
          <w:rFonts w:ascii="Times New Roman" w:hAnsi="Times New Roman"/>
          <w:sz w:val="24"/>
          <w:szCs w:val="24"/>
        </w:rPr>
      </w:pPr>
      <w:r>
        <w:rPr>
          <w:rFonts w:ascii="Times New Roman" w:hAnsi="Times New Roman"/>
          <w:sz w:val="24"/>
          <w:szCs w:val="24"/>
        </w:rPr>
        <w:t>r</w:t>
      </w:r>
      <w:r w:rsidR="000F373D" w:rsidRPr="0067318C">
        <w:rPr>
          <w:rFonts w:ascii="Times New Roman" w:hAnsi="Times New Roman"/>
          <w:sz w:val="24"/>
          <w:szCs w:val="24"/>
        </w:rPr>
        <w:t>ss</w:t>
      </w:r>
      <w:r w:rsidR="00EF2489" w:rsidRPr="0067318C">
        <w:rPr>
          <w:rFonts w:ascii="Times New Roman" w:hAnsi="Times New Roman"/>
          <w:sz w:val="24"/>
          <w:szCs w:val="24"/>
        </w:rPr>
        <w:br/>
        <w:t>Enclo</w:t>
      </w:r>
      <w:r w:rsidR="00C71D85" w:rsidRPr="0067318C">
        <w:rPr>
          <w:rFonts w:ascii="Times New Roman" w:hAnsi="Times New Roman"/>
          <w:sz w:val="24"/>
          <w:szCs w:val="24"/>
        </w:rPr>
        <w:t>sure</w:t>
      </w:r>
      <w:r w:rsidR="00C71D85" w:rsidRPr="0067318C">
        <w:rPr>
          <w:rFonts w:ascii="Times New Roman" w:hAnsi="Times New Roman"/>
          <w:sz w:val="24"/>
          <w:szCs w:val="24"/>
        </w:rPr>
        <w:br/>
        <w:t xml:space="preserve">cc: Abraham T. </w:t>
      </w:r>
      <w:r w:rsidR="00AF0E45" w:rsidRPr="0067318C">
        <w:rPr>
          <w:rFonts w:ascii="Times New Roman" w:hAnsi="Times New Roman"/>
          <w:sz w:val="24"/>
          <w:szCs w:val="24"/>
        </w:rPr>
        <w:t>Gathers</w:t>
      </w:r>
    </w:p>
    <w:sectPr w:rsidR="009456EA" w:rsidSect="00EF248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AB9B9" w14:textId="77777777" w:rsidR="00EF2489" w:rsidRDefault="00EF2489">
      <w:r>
        <w:separator/>
      </w:r>
    </w:p>
  </w:endnote>
  <w:endnote w:type="continuationSeparator" w:id="0">
    <w:p w14:paraId="187706C1" w14:textId="77777777" w:rsidR="00EF2489" w:rsidRDefault="00EF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1B58F" w14:textId="77777777" w:rsidR="00EF2489" w:rsidRDefault="00EF2489">
      <w:r>
        <w:separator/>
      </w:r>
    </w:p>
  </w:footnote>
  <w:footnote w:type="continuationSeparator" w:id="0">
    <w:p w14:paraId="7C67265E" w14:textId="77777777" w:rsidR="00EF2489" w:rsidRDefault="00EF2489">
      <w:r>
        <w:continuationSeparator/>
      </w:r>
    </w:p>
  </w:footnote>
  <w:footnote w:id="1">
    <w:p w14:paraId="1E6902DB" w14:textId="77777777" w:rsidR="00C80764" w:rsidRDefault="00C80764" w:rsidP="00192311">
      <w:pPr>
        <w:pStyle w:val="APAReference"/>
        <w:spacing w:line="240" w:lineRule="auto"/>
        <w:ind w:left="0" w:firstLine="0"/>
      </w:pPr>
      <w:r>
        <w:rPr>
          <w:rStyle w:val="FootnoteReference"/>
        </w:rPr>
        <w:footnoteRef/>
      </w:r>
      <w:r>
        <w:t xml:space="preserve"> </w:t>
      </w:r>
      <w:r w:rsidRPr="00192311">
        <w:rPr>
          <w:sz w:val="20"/>
        </w:rPr>
        <w:t>The American Society for Training &amp; Development (ASTD). (2013). The ASTD Competency Model. Retrieved from http://www.astd.org/Certification/Competency-Model.aspx</w:t>
      </w:r>
    </w:p>
    <w:p w14:paraId="3D9F3FB6" w14:textId="77777777" w:rsidR="00C80764" w:rsidRDefault="00C80764">
      <w:pPr>
        <w:pStyle w:val="FootnoteText"/>
      </w:pPr>
    </w:p>
  </w:footnote>
  <w:footnote w:id="2">
    <w:p w14:paraId="215BF848" w14:textId="77777777" w:rsidR="002A698C" w:rsidRDefault="002A698C" w:rsidP="002A698C">
      <w:pPr>
        <w:pStyle w:val="APAReference"/>
        <w:spacing w:line="240" w:lineRule="auto"/>
        <w:ind w:left="0" w:firstLine="0"/>
      </w:pPr>
      <w:r>
        <w:rPr>
          <w:rStyle w:val="FootnoteReference"/>
        </w:rPr>
        <w:footnoteRef/>
      </w:r>
      <w:r>
        <w:t xml:space="preserve"> </w:t>
      </w:r>
      <w:r w:rsidRPr="009456EA">
        <w:rPr>
          <w:sz w:val="20"/>
        </w:rPr>
        <w:t>The American Society for Training &amp; Development. (2013, January 10). Training and Development Competencies Redefined to Create Competitive Advantage. Retrieved from http://www.astd.org/Publications/Magazines/TD/TD-Archive/2013/01/Training-and-Development-Competencies-Redefined?mktcops=c.career-development~c.workforce-development~c.human-capital~c.learning-and-development&amp;mktcois=c.career-development-2-subtopic~c.competencies~c.career-planning~c.human-performance-improvement~c.training-and-development</w:t>
      </w:r>
    </w:p>
    <w:p w14:paraId="6050A524" w14:textId="77777777" w:rsidR="002A698C" w:rsidRDefault="002A698C" w:rsidP="002A698C">
      <w:pPr>
        <w:pStyle w:val="FootnoteText"/>
      </w:pPr>
    </w:p>
  </w:footnote>
  <w:footnote w:id="3">
    <w:p w14:paraId="10DC3EC2" w14:textId="77777777" w:rsidR="00F26908" w:rsidRPr="00F26908" w:rsidRDefault="00F26908" w:rsidP="00F26908">
      <w:pPr>
        <w:shd w:val="clear" w:color="auto" w:fill="FFFFFF"/>
        <w:spacing w:before="100" w:beforeAutospacing="1" w:after="0" w:line="240" w:lineRule="auto"/>
        <w:rPr>
          <w:rFonts w:ascii="Times New Roman" w:eastAsia="Times New Roman" w:hAnsi="Times New Roman"/>
          <w:color w:val="000000"/>
        </w:rPr>
      </w:pPr>
      <w:r>
        <w:rPr>
          <w:rStyle w:val="FootnoteReference"/>
        </w:rPr>
        <w:footnoteRef/>
      </w:r>
      <w:r>
        <w:t xml:space="preserve"> </w:t>
      </w:r>
      <w:r w:rsidRPr="00F26908">
        <w:rPr>
          <w:rFonts w:asciiTheme="minorHAnsi" w:eastAsia="Times New Roman" w:hAnsiTheme="minorHAnsi"/>
          <w:color w:val="000000"/>
          <w:sz w:val="20"/>
          <w:szCs w:val="20"/>
        </w:rPr>
        <w:t>Merriam, S., Caffarella, R., &amp; Baumgartner, L. (2007). </w:t>
      </w:r>
      <w:r w:rsidRPr="00F26908">
        <w:rPr>
          <w:rFonts w:asciiTheme="minorHAnsi" w:eastAsia="Times New Roman" w:hAnsiTheme="minorHAnsi"/>
          <w:i/>
          <w:iCs/>
          <w:color w:val="000000"/>
          <w:sz w:val="20"/>
          <w:szCs w:val="20"/>
        </w:rPr>
        <w:t>Learning in adulthood: A comprehensive guide. (</w:t>
      </w:r>
      <w:r w:rsidRPr="00F26908">
        <w:rPr>
          <w:rFonts w:asciiTheme="minorHAnsi" w:eastAsia="Times New Roman" w:hAnsiTheme="minorHAnsi"/>
          <w:color w:val="000000"/>
          <w:sz w:val="20"/>
          <w:szCs w:val="20"/>
        </w:rPr>
        <w:t>3</w:t>
      </w:r>
      <w:r w:rsidRPr="00F26908">
        <w:rPr>
          <w:rFonts w:asciiTheme="minorHAnsi" w:eastAsia="Times New Roman" w:hAnsiTheme="minorHAnsi"/>
          <w:color w:val="000000"/>
          <w:sz w:val="20"/>
          <w:szCs w:val="20"/>
          <w:vertAlign w:val="superscript"/>
        </w:rPr>
        <w:t>rd</w:t>
      </w:r>
      <w:r w:rsidRPr="00F26908">
        <w:rPr>
          <w:rFonts w:asciiTheme="minorHAnsi" w:eastAsia="Times New Roman" w:hAnsiTheme="minorHAnsi"/>
          <w:color w:val="000000"/>
          <w:sz w:val="20"/>
          <w:szCs w:val="20"/>
        </w:rPr>
        <w:t>. ed.). San Francisco, CA: Wiley &amp; Sons.</w:t>
      </w:r>
    </w:p>
  </w:footnote>
  <w:footnote w:id="4">
    <w:p w14:paraId="6C60426F" w14:textId="77777777" w:rsidR="00811857" w:rsidRDefault="00811857" w:rsidP="00811857">
      <w:pPr>
        <w:pStyle w:val="APAReference"/>
        <w:spacing w:line="240" w:lineRule="auto"/>
        <w:ind w:left="0" w:firstLine="0"/>
      </w:pPr>
      <w:r>
        <w:rPr>
          <w:rStyle w:val="FootnoteReference"/>
        </w:rPr>
        <w:footnoteRef/>
      </w:r>
      <w:r>
        <w:t xml:space="preserve"> </w:t>
      </w:r>
      <w:r w:rsidRPr="00811857">
        <w:rPr>
          <w:sz w:val="20"/>
        </w:rPr>
        <w:t xml:space="preserve">Lyman, F. (1981). The responsive classroom discussion: The inclusion of all students. In A. Anderson (Ed.), </w:t>
      </w:r>
      <w:r w:rsidRPr="00811857">
        <w:rPr>
          <w:i/>
          <w:sz w:val="20"/>
        </w:rPr>
        <w:t>Mainstreaming Digest</w:t>
      </w:r>
      <w:r w:rsidRPr="00811857">
        <w:rPr>
          <w:sz w:val="20"/>
        </w:rPr>
        <w:t xml:space="preserve"> (pp. 109–113). College Park, MD: University of Maryland Press.</w:t>
      </w:r>
    </w:p>
    <w:p w14:paraId="43E191BD" w14:textId="77777777" w:rsidR="00811857" w:rsidRDefault="00811857">
      <w:pPr>
        <w:pStyle w:val="FootnoteText"/>
      </w:pPr>
    </w:p>
  </w:footnote>
  <w:footnote w:id="5">
    <w:p w14:paraId="3FA0CB6A" w14:textId="77777777" w:rsidR="00EA55F9" w:rsidRDefault="00EA55F9" w:rsidP="00EA55F9">
      <w:pPr>
        <w:pStyle w:val="APAReference"/>
        <w:spacing w:line="240" w:lineRule="auto"/>
        <w:ind w:left="0" w:firstLine="0"/>
      </w:pPr>
      <w:r>
        <w:rPr>
          <w:rStyle w:val="FootnoteReference"/>
        </w:rPr>
        <w:footnoteRef/>
      </w:r>
      <w:r>
        <w:t xml:space="preserve"> </w:t>
      </w:r>
      <w:bookmarkStart w:id="12" w:name="refBk_4"/>
      <w:r w:rsidRPr="00EA55F9">
        <w:rPr>
          <w:sz w:val="20"/>
        </w:rPr>
        <w:t xml:space="preserve">Jarvis, P. (2005). </w:t>
      </w:r>
      <w:r w:rsidRPr="00EA55F9">
        <w:rPr>
          <w:i/>
          <w:sz w:val="20"/>
        </w:rPr>
        <w:t>Adult Education and the State: Towards a Politics of Adult Education</w:t>
      </w:r>
      <w:r w:rsidRPr="00EA55F9">
        <w:rPr>
          <w:sz w:val="20"/>
        </w:rPr>
        <w:t>. New York, NY: Routledge.</w:t>
      </w:r>
      <w:bookmarkEnd w:id="12"/>
    </w:p>
  </w:footnote>
  <w:footnote w:id="6">
    <w:p w14:paraId="16A86D7D" w14:textId="77777777" w:rsidR="00EF2489" w:rsidRDefault="00EF2489" w:rsidP="00EF2489">
      <w:pPr>
        <w:pStyle w:val="FootnoteText"/>
      </w:pPr>
      <w:r>
        <w:rPr>
          <w:rStyle w:val="FootnoteReference"/>
        </w:rPr>
        <w:footnoteRef/>
      </w:r>
      <w:r>
        <w:t xml:space="preserve"> Please note that the names</w:t>
      </w:r>
      <w:r w:rsidR="00984DAB">
        <w:t>, job titles,</w:t>
      </w:r>
      <w:r>
        <w:t xml:space="preserve"> and organizations in this business letter</w:t>
      </w:r>
      <w:r w:rsidR="00C71D85">
        <w:t xml:space="preserve"> are fictitious (excluding Felicia L. Jones-Shaw</w:t>
      </w:r>
      <w:r>
        <w:t xml:space="preserve">, </w:t>
      </w:r>
      <w:r w:rsidR="00C71D85">
        <w:t>Atlanta, Georgia, and New York, New York</w:t>
      </w:r>
      <w:r>
        <w:t xml:space="preserve">). </w:t>
      </w:r>
      <w:r w:rsidRPr="0028399C">
        <w:t>T</w:t>
      </w:r>
      <w:r>
        <w:t xml:space="preserve">he information herein has been created for </w:t>
      </w:r>
      <w:r w:rsidR="00C71D85">
        <w:t>course</w:t>
      </w:r>
      <w:r>
        <w:t xml:space="preserve"> purposes only. </w:t>
      </w:r>
      <w:r w:rsidRPr="0028399C">
        <w:t>T</w:t>
      </w:r>
      <w:r>
        <w:t xml:space="preserve">he </w:t>
      </w:r>
      <w:r w:rsidR="00C71D85">
        <w:t>World Financial Services</w:t>
      </w:r>
      <w:r>
        <w:t xml:space="preserve"> logo has been created exclusively for the purposes of this </w:t>
      </w:r>
      <w:r w:rsidR="00C71D85">
        <w:t>assignment</w:t>
      </w:r>
      <w:r>
        <w:t xml:space="preserve"> and is not affiliated with any company or organization.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67318C" w14:paraId="48E56A6A" w14:textId="77777777" w:rsidTr="0067318C">
      <w:tc>
        <w:tcPr>
          <w:tcW w:w="4500" w:type="pct"/>
          <w:shd w:val="clear" w:color="auto" w:fill="auto"/>
        </w:tcPr>
        <w:p w14:paraId="36B24089" w14:textId="77777777" w:rsidR="0067318C" w:rsidRPr="0067318C" w:rsidRDefault="0067318C" w:rsidP="0067318C">
          <w:pPr>
            <w:pStyle w:val="Header"/>
            <w:rPr>
              <w:rFonts w:ascii="Times New Roman" w:hAnsi="Times New Roman"/>
            </w:rPr>
          </w:pPr>
          <w:bookmarkStart w:id="6" w:name="bkRunningHead"/>
          <w:r w:rsidRPr="0067318C">
            <w:rPr>
              <w:rFonts w:ascii="Times New Roman" w:hAnsi="Times New Roman"/>
            </w:rPr>
            <w:t>WEEK SIX: TRENDS IN ADULT LEARNING SETTINGS</w:t>
          </w:r>
          <w:bookmarkEnd w:id="6"/>
        </w:p>
      </w:tc>
      <w:tc>
        <w:tcPr>
          <w:tcW w:w="2500" w:type="pct"/>
          <w:shd w:val="clear" w:color="auto" w:fill="auto"/>
        </w:tcPr>
        <w:p w14:paraId="6F629C23" w14:textId="41FBC8DE" w:rsidR="0067318C" w:rsidRDefault="0067318C" w:rsidP="0067318C">
          <w:pPr>
            <w:pStyle w:val="Header"/>
            <w:jc w:val="right"/>
          </w:pPr>
          <w:r>
            <w:t xml:space="preserve"> </w:t>
          </w:r>
          <w:r>
            <w:fldChar w:fldCharType="begin"/>
          </w:r>
          <w:r>
            <w:instrText xml:space="preserve"> PAGE  \* MERGEFORMAT </w:instrText>
          </w:r>
          <w:r>
            <w:fldChar w:fldCharType="separate"/>
          </w:r>
          <w:r w:rsidR="00A35777">
            <w:rPr>
              <w:noProof/>
            </w:rPr>
            <w:t>4</w:t>
          </w:r>
          <w:r>
            <w:fldChar w:fldCharType="end"/>
          </w:r>
        </w:p>
        <w:p w14:paraId="350CD8C9" w14:textId="77777777" w:rsidR="0067318C" w:rsidRDefault="0067318C" w:rsidP="0067318C">
          <w:pPr>
            <w:pStyle w:val="Header"/>
          </w:pPr>
        </w:p>
      </w:tc>
    </w:tr>
  </w:tbl>
  <w:p w14:paraId="243044B8" w14:textId="77777777" w:rsidR="00EF2489" w:rsidRPr="0067318C" w:rsidRDefault="00EF2489" w:rsidP="00673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67318C" w14:paraId="2BCE143B" w14:textId="77777777" w:rsidTr="0067318C">
      <w:tc>
        <w:tcPr>
          <w:tcW w:w="4500" w:type="pct"/>
          <w:shd w:val="clear" w:color="auto" w:fill="auto"/>
        </w:tcPr>
        <w:p w14:paraId="3C855E76" w14:textId="77777777" w:rsidR="0067318C" w:rsidRPr="0067318C" w:rsidRDefault="0067318C" w:rsidP="0067318C">
          <w:pPr>
            <w:pStyle w:val="Header"/>
            <w:rPr>
              <w:rFonts w:ascii="Times New Roman" w:hAnsi="Times New Roman"/>
            </w:rPr>
          </w:pPr>
          <w:bookmarkStart w:id="7" w:name="bkTitleRunningHead"/>
          <w:r w:rsidRPr="0067318C">
            <w:rPr>
              <w:rFonts w:ascii="Times New Roman" w:hAnsi="Times New Roman"/>
            </w:rPr>
            <w:t>Running head: WEEK SIX: TRENDS IN ADULT LEARNING SETTINGS</w:t>
          </w:r>
          <w:bookmarkEnd w:id="7"/>
        </w:p>
      </w:tc>
      <w:tc>
        <w:tcPr>
          <w:tcW w:w="2500" w:type="pct"/>
          <w:shd w:val="clear" w:color="auto" w:fill="auto"/>
        </w:tcPr>
        <w:p w14:paraId="63859CB9" w14:textId="563CBECA" w:rsidR="0067318C" w:rsidRDefault="0067318C" w:rsidP="0067318C">
          <w:pPr>
            <w:pStyle w:val="Header"/>
            <w:jc w:val="right"/>
          </w:pPr>
          <w:r>
            <w:t xml:space="preserve"> </w:t>
          </w:r>
          <w:r>
            <w:fldChar w:fldCharType="begin"/>
          </w:r>
          <w:r>
            <w:instrText xml:space="preserve"> PAGE  \* MERGEFORMAT </w:instrText>
          </w:r>
          <w:r>
            <w:fldChar w:fldCharType="separate"/>
          </w:r>
          <w:r w:rsidR="00A35777">
            <w:rPr>
              <w:noProof/>
            </w:rPr>
            <w:t>1</w:t>
          </w:r>
          <w:r>
            <w:fldChar w:fldCharType="end"/>
          </w:r>
        </w:p>
        <w:p w14:paraId="17DA4677" w14:textId="77777777" w:rsidR="0067318C" w:rsidRDefault="0067318C" w:rsidP="0067318C">
          <w:pPr>
            <w:pStyle w:val="Header"/>
          </w:pPr>
        </w:p>
      </w:tc>
    </w:tr>
  </w:tbl>
  <w:p w14:paraId="1BEADC79" w14:textId="77777777" w:rsidR="00EF2489" w:rsidRPr="0067318C" w:rsidRDefault="00EF2489" w:rsidP="0067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EB2"/>
    <w:multiLevelType w:val="hybridMultilevel"/>
    <w:tmpl w:val="98F22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950786"/>
    <w:multiLevelType w:val="multilevel"/>
    <w:tmpl w:val="DBE2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E18D5"/>
    <w:multiLevelType w:val="hybridMultilevel"/>
    <w:tmpl w:val="B5F8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25F74"/>
    <w:multiLevelType w:val="hybridMultilevel"/>
    <w:tmpl w:val="574EDF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240E71"/>
    <w:multiLevelType w:val="multilevel"/>
    <w:tmpl w:val="56B6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Felicia L. Jones-Shaw"/>
    <w:docVar w:name="IncludeRunningHead" w:val="-1"/>
    <w:docVar w:name="OpenYesNo" w:val="0"/>
    <w:docVar w:name="toItalics" w:val="«Training and Development Competencies Redefined to Create Competitive Advantage»‡"/>
  </w:docVars>
  <w:rsids>
    <w:rsidRoot w:val="00EF2489"/>
    <w:rsid w:val="00002375"/>
    <w:rsid w:val="000027E8"/>
    <w:rsid w:val="0000410F"/>
    <w:rsid w:val="000168B9"/>
    <w:rsid w:val="00017428"/>
    <w:rsid w:val="000201CE"/>
    <w:rsid w:val="00026603"/>
    <w:rsid w:val="000368E9"/>
    <w:rsid w:val="00042CC7"/>
    <w:rsid w:val="000433EA"/>
    <w:rsid w:val="00050CAC"/>
    <w:rsid w:val="00052530"/>
    <w:rsid w:val="00057F4D"/>
    <w:rsid w:val="00062C26"/>
    <w:rsid w:val="00063849"/>
    <w:rsid w:val="000673A4"/>
    <w:rsid w:val="00076564"/>
    <w:rsid w:val="00076810"/>
    <w:rsid w:val="00076B31"/>
    <w:rsid w:val="000A5A6A"/>
    <w:rsid w:val="000B3FA1"/>
    <w:rsid w:val="000D203E"/>
    <w:rsid w:val="000D4BC7"/>
    <w:rsid w:val="000E683E"/>
    <w:rsid w:val="000F1799"/>
    <w:rsid w:val="000F2663"/>
    <w:rsid w:val="000F373D"/>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311"/>
    <w:rsid w:val="00192AE3"/>
    <w:rsid w:val="001947D0"/>
    <w:rsid w:val="001A25D8"/>
    <w:rsid w:val="001A34FE"/>
    <w:rsid w:val="001A5834"/>
    <w:rsid w:val="001A6570"/>
    <w:rsid w:val="001B3403"/>
    <w:rsid w:val="001B5A1E"/>
    <w:rsid w:val="001C643E"/>
    <w:rsid w:val="001C6555"/>
    <w:rsid w:val="001C79D5"/>
    <w:rsid w:val="001D4A0E"/>
    <w:rsid w:val="001D5EA8"/>
    <w:rsid w:val="001E28C7"/>
    <w:rsid w:val="001F61E6"/>
    <w:rsid w:val="0020048D"/>
    <w:rsid w:val="00201D4A"/>
    <w:rsid w:val="0020281F"/>
    <w:rsid w:val="002106D8"/>
    <w:rsid w:val="002139D2"/>
    <w:rsid w:val="00220408"/>
    <w:rsid w:val="00221CB7"/>
    <w:rsid w:val="00236796"/>
    <w:rsid w:val="00245A1D"/>
    <w:rsid w:val="00250DF5"/>
    <w:rsid w:val="0025583E"/>
    <w:rsid w:val="0026387F"/>
    <w:rsid w:val="002673F9"/>
    <w:rsid w:val="00267A22"/>
    <w:rsid w:val="00276B3F"/>
    <w:rsid w:val="00281667"/>
    <w:rsid w:val="00290C3C"/>
    <w:rsid w:val="00296FE6"/>
    <w:rsid w:val="002A2C6F"/>
    <w:rsid w:val="002A698C"/>
    <w:rsid w:val="002C0672"/>
    <w:rsid w:val="002D0486"/>
    <w:rsid w:val="002D0B13"/>
    <w:rsid w:val="002D226A"/>
    <w:rsid w:val="002D33B9"/>
    <w:rsid w:val="002E21B1"/>
    <w:rsid w:val="002E5D01"/>
    <w:rsid w:val="002F20F2"/>
    <w:rsid w:val="002F507B"/>
    <w:rsid w:val="0031289F"/>
    <w:rsid w:val="00324D34"/>
    <w:rsid w:val="00332D2B"/>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764"/>
    <w:rsid w:val="00384FDA"/>
    <w:rsid w:val="00387815"/>
    <w:rsid w:val="00392CBB"/>
    <w:rsid w:val="00394884"/>
    <w:rsid w:val="003966B3"/>
    <w:rsid w:val="003A09A9"/>
    <w:rsid w:val="003A41B8"/>
    <w:rsid w:val="003B3913"/>
    <w:rsid w:val="003B3F5B"/>
    <w:rsid w:val="003B7D11"/>
    <w:rsid w:val="003C0F7A"/>
    <w:rsid w:val="003C3B1D"/>
    <w:rsid w:val="003C5F69"/>
    <w:rsid w:val="003C6A10"/>
    <w:rsid w:val="003D0564"/>
    <w:rsid w:val="003D6329"/>
    <w:rsid w:val="003D65E1"/>
    <w:rsid w:val="003D7CA2"/>
    <w:rsid w:val="003E1812"/>
    <w:rsid w:val="003E1BB1"/>
    <w:rsid w:val="003E79AB"/>
    <w:rsid w:val="004006CB"/>
    <w:rsid w:val="00405146"/>
    <w:rsid w:val="004073C9"/>
    <w:rsid w:val="00421A4C"/>
    <w:rsid w:val="004220D7"/>
    <w:rsid w:val="004273E9"/>
    <w:rsid w:val="00431BDA"/>
    <w:rsid w:val="00450E5D"/>
    <w:rsid w:val="00465723"/>
    <w:rsid w:val="00480108"/>
    <w:rsid w:val="004933B7"/>
    <w:rsid w:val="004B0B6D"/>
    <w:rsid w:val="004B0EC7"/>
    <w:rsid w:val="004D446B"/>
    <w:rsid w:val="004E2745"/>
    <w:rsid w:val="004E28D6"/>
    <w:rsid w:val="004E4D57"/>
    <w:rsid w:val="004F28EE"/>
    <w:rsid w:val="004F7B75"/>
    <w:rsid w:val="004F7D50"/>
    <w:rsid w:val="00527090"/>
    <w:rsid w:val="005450B8"/>
    <w:rsid w:val="00552D67"/>
    <w:rsid w:val="005650EB"/>
    <w:rsid w:val="00565DB7"/>
    <w:rsid w:val="00571769"/>
    <w:rsid w:val="00595228"/>
    <w:rsid w:val="00596D98"/>
    <w:rsid w:val="005B60A0"/>
    <w:rsid w:val="005C4B45"/>
    <w:rsid w:val="005C53D6"/>
    <w:rsid w:val="005F2E7E"/>
    <w:rsid w:val="00602CC5"/>
    <w:rsid w:val="00604874"/>
    <w:rsid w:val="00604B02"/>
    <w:rsid w:val="00607CE0"/>
    <w:rsid w:val="006362A0"/>
    <w:rsid w:val="0064774B"/>
    <w:rsid w:val="006559A3"/>
    <w:rsid w:val="00657B75"/>
    <w:rsid w:val="00661FB3"/>
    <w:rsid w:val="00662178"/>
    <w:rsid w:val="0066695C"/>
    <w:rsid w:val="00671B86"/>
    <w:rsid w:val="0067318C"/>
    <w:rsid w:val="00673875"/>
    <w:rsid w:val="00677B77"/>
    <w:rsid w:val="00677CC4"/>
    <w:rsid w:val="006B099A"/>
    <w:rsid w:val="006B641D"/>
    <w:rsid w:val="006B7334"/>
    <w:rsid w:val="006C1AFD"/>
    <w:rsid w:val="006C40E2"/>
    <w:rsid w:val="006C4BF6"/>
    <w:rsid w:val="006D5770"/>
    <w:rsid w:val="006D6131"/>
    <w:rsid w:val="006D6D52"/>
    <w:rsid w:val="006E6543"/>
    <w:rsid w:val="006F4222"/>
    <w:rsid w:val="00712C35"/>
    <w:rsid w:val="00714E61"/>
    <w:rsid w:val="00716DA5"/>
    <w:rsid w:val="00720EE5"/>
    <w:rsid w:val="00730647"/>
    <w:rsid w:val="0073339F"/>
    <w:rsid w:val="0074212B"/>
    <w:rsid w:val="00750616"/>
    <w:rsid w:val="00750FE3"/>
    <w:rsid w:val="00755F1D"/>
    <w:rsid w:val="00764396"/>
    <w:rsid w:val="007661C2"/>
    <w:rsid w:val="00767C62"/>
    <w:rsid w:val="00770989"/>
    <w:rsid w:val="007719DA"/>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542D"/>
    <w:rsid w:val="007C6B2B"/>
    <w:rsid w:val="007C7014"/>
    <w:rsid w:val="007D7478"/>
    <w:rsid w:val="007D772A"/>
    <w:rsid w:val="007E5616"/>
    <w:rsid w:val="007E6480"/>
    <w:rsid w:val="007F3400"/>
    <w:rsid w:val="007F34DD"/>
    <w:rsid w:val="007F50D5"/>
    <w:rsid w:val="007F6E06"/>
    <w:rsid w:val="007F7D45"/>
    <w:rsid w:val="007F7F35"/>
    <w:rsid w:val="008055FD"/>
    <w:rsid w:val="00811857"/>
    <w:rsid w:val="00813C1E"/>
    <w:rsid w:val="008150D4"/>
    <w:rsid w:val="008213FF"/>
    <w:rsid w:val="00824C5E"/>
    <w:rsid w:val="0083060C"/>
    <w:rsid w:val="0083233D"/>
    <w:rsid w:val="00835FC8"/>
    <w:rsid w:val="0084039A"/>
    <w:rsid w:val="008657EE"/>
    <w:rsid w:val="008711D9"/>
    <w:rsid w:val="00872A15"/>
    <w:rsid w:val="00872B0F"/>
    <w:rsid w:val="00873108"/>
    <w:rsid w:val="0087533B"/>
    <w:rsid w:val="00880A26"/>
    <w:rsid w:val="00881E76"/>
    <w:rsid w:val="008921F8"/>
    <w:rsid w:val="008A0E27"/>
    <w:rsid w:val="008B2432"/>
    <w:rsid w:val="008B625A"/>
    <w:rsid w:val="008C5129"/>
    <w:rsid w:val="008D25CF"/>
    <w:rsid w:val="008D3B5B"/>
    <w:rsid w:val="008E6DF5"/>
    <w:rsid w:val="008F69A0"/>
    <w:rsid w:val="00912675"/>
    <w:rsid w:val="00912923"/>
    <w:rsid w:val="00917100"/>
    <w:rsid w:val="00917C5A"/>
    <w:rsid w:val="009201AC"/>
    <w:rsid w:val="009206B9"/>
    <w:rsid w:val="0092104E"/>
    <w:rsid w:val="009229DC"/>
    <w:rsid w:val="00925776"/>
    <w:rsid w:val="0093108A"/>
    <w:rsid w:val="00941D6E"/>
    <w:rsid w:val="00943B63"/>
    <w:rsid w:val="00945525"/>
    <w:rsid w:val="009456EA"/>
    <w:rsid w:val="00961FA8"/>
    <w:rsid w:val="00963C89"/>
    <w:rsid w:val="00975D6C"/>
    <w:rsid w:val="00976ACC"/>
    <w:rsid w:val="009774F1"/>
    <w:rsid w:val="00980F71"/>
    <w:rsid w:val="00981110"/>
    <w:rsid w:val="00984DAB"/>
    <w:rsid w:val="00991607"/>
    <w:rsid w:val="0099735D"/>
    <w:rsid w:val="009A446E"/>
    <w:rsid w:val="009B5370"/>
    <w:rsid w:val="009C3036"/>
    <w:rsid w:val="009C5992"/>
    <w:rsid w:val="009F1638"/>
    <w:rsid w:val="009F59EB"/>
    <w:rsid w:val="00A0014B"/>
    <w:rsid w:val="00A0621A"/>
    <w:rsid w:val="00A116DC"/>
    <w:rsid w:val="00A21625"/>
    <w:rsid w:val="00A21BDD"/>
    <w:rsid w:val="00A231ED"/>
    <w:rsid w:val="00A26D16"/>
    <w:rsid w:val="00A3303C"/>
    <w:rsid w:val="00A33C5B"/>
    <w:rsid w:val="00A35777"/>
    <w:rsid w:val="00A42102"/>
    <w:rsid w:val="00A4260D"/>
    <w:rsid w:val="00A429F7"/>
    <w:rsid w:val="00A46D05"/>
    <w:rsid w:val="00A51503"/>
    <w:rsid w:val="00A56E99"/>
    <w:rsid w:val="00A63F64"/>
    <w:rsid w:val="00A65350"/>
    <w:rsid w:val="00A74E24"/>
    <w:rsid w:val="00A8149A"/>
    <w:rsid w:val="00A86D24"/>
    <w:rsid w:val="00A91DD3"/>
    <w:rsid w:val="00AA0083"/>
    <w:rsid w:val="00AA220B"/>
    <w:rsid w:val="00AB448E"/>
    <w:rsid w:val="00AB4A9E"/>
    <w:rsid w:val="00AC4703"/>
    <w:rsid w:val="00AD1618"/>
    <w:rsid w:val="00AD3E03"/>
    <w:rsid w:val="00AD6BFE"/>
    <w:rsid w:val="00AF0E45"/>
    <w:rsid w:val="00B0181F"/>
    <w:rsid w:val="00B07EA2"/>
    <w:rsid w:val="00B247EB"/>
    <w:rsid w:val="00B3041D"/>
    <w:rsid w:val="00B316B4"/>
    <w:rsid w:val="00B36297"/>
    <w:rsid w:val="00B603EE"/>
    <w:rsid w:val="00B615C4"/>
    <w:rsid w:val="00B61FC6"/>
    <w:rsid w:val="00B64EFA"/>
    <w:rsid w:val="00B837AC"/>
    <w:rsid w:val="00B85F0E"/>
    <w:rsid w:val="00B92F1D"/>
    <w:rsid w:val="00BC30AD"/>
    <w:rsid w:val="00BC4EBB"/>
    <w:rsid w:val="00BC4F75"/>
    <w:rsid w:val="00BD70E3"/>
    <w:rsid w:val="00BE30F2"/>
    <w:rsid w:val="00BE68D3"/>
    <w:rsid w:val="00BE79D7"/>
    <w:rsid w:val="00BF2B53"/>
    <w:rsid w:val="00BF312E"/>
    <w:rsid w:val="00BF388B"/>
    <w:rsid w:val="00C1161A"/>
    <w:rsid w:val="00C11D24"/>
    <w:rsid w:val="00C12231"/>
    <w:rsid w:val="00C14A2A"/>
    <w:rsid w:val="00C1658B"/>
    <w:rsid w:val="00C17EAC"/>
    <w:rsid w:val="00C2578F"/>
    <w:rsid w:val="00C37025"/>
    <w:rsid w:val="00C530EA"/>
    <w:rsid w:val="00C70AFF"/>
    <w:rsid w:val="00C71D85"/>
    <w:rsid w:val="00C72BCE"/>
    <w:rsid w:val="00C80764"/>
    <w:rsid w:val="00C8128A"/>
    <w:rsid w:val="00C86DF0"/>
    <w:rsid w:val="00C877A6"/>
    <w:rsid w:val="00C959EE"/>
    <w:rsid w:val="00CA0525"/>
    <w:rsid w:val="00CB25F4"/>
    <w:rsid w:val="00CB7478"/>
    <w:rsid w:val="00CC16B4"/>
    <w:rsid w:val="00CC1F52"/>
    <w:rsid w:val="00CD0CE6"/>
    <w:rsid w:val="00CD7E33"/>
    <w:rsid w:val="00CE0090"/>
    <w:rsid w:val="00CE5503"/>
    <w:rsid w:val="00CF30BF"/>
    <w:rsid w:val="00D070DD"/>
    <w:rsid w:val="00D13A94"/>
    <w:rsid w:val="00D14987"/>
    <w:rsid w:val="00D15C09"/>
    <w:rsid w:val="00D17DCA"/>
    <w:rsid w:val="00D210C2"/>
    <w:rsid w:val="00D31F88"/>
    <w:rsid w:val="00D33F9E"/>
    <w:rsid w:val="00D44548"/>
    <w:rsid w:val="00D45057"/>
    <w:rsid w:val="00D46F74"/>
    <w:rsid w:val="00D52003"/>
    <w:rsid w:val="00D53574"/>
    <w:rsid w:val="00D549D9"/>
    <w:rsid w:val="00D5747B"/>
    <w:rsid w:val="00D614CB"/>
    <w:rsid w:val="00D7561D"/>
    <w:rsid w:val="00D77DD5"/>
    <w:rsid w:val="00D81C70"/>
    <w:rsid w:val="00D87D5B"/>
    <w:rsid w:val="00D96699"/>
    <w:rsid w:val="00DA2CE2"/>
    <w:rsid w:val="00DA4E03"/>
    <w:rsid w:val="00DA5BE0"/>
    <w:rsid w:val="00DB0499"/>
    <w:rsid w:val="00DB30C8"/>
    <w:rsid w:val="00DC0246"/>
    <w:rsid w:val="00DC100E"/>
    <w:rsid w:val="00DC2281"/>
    <w:rsid w:val="00DC347C"/>
    <w:rsid w:val="00DC4233"/>
    <w:rsid w:val="00DD3514"/>
    <w:rsid w:val="00DE49E5"/>
    <w:rsid w:val="00DF4A20"/>
    <w:rsid w:val="00DF73CC"/>
    <w:rsid w:val="00E06187"/>
    <w:rsid w:val="00E14581"/>
    <w:rsid w:val="00E1537C"/>
    <w:rsid w:val="00E16071"/>
    <w:rsid w:val="00E16C94"/>
    <w:rsid w:val="00E2754D"/>
    <w:rsid w:val="00E27E8F"/>
    <w:rsid w:val="00E34B45"/>
    <w:rsid w:val="00E369DC"/>
    <w:rsid w:val="00E51F7D"/>
    <w:rsid w:val="00E53E40"/>
    <w:rsid w:val="00E601AD"/>
    <w:rsid w:val="00E634CA"/>
    <w:rsid w:val="00E645AE"/>
    <w:rsid w:val="00E76291"/>
    <w:rsid w:val="00E80660"/>
    <w:rsid w:val="00E81A2F"/>
    <w:rsid w:val="00E87CEF"/>
    <w:rsid w:val="00EA472B"/>
    <w:rsid w:val="00EA55F9"/>
    <w:rsid w:val="00EB2C38"/>
    <w:rsid w:val="00EB5E0F"/>
    <w:rsid w:val="00EB6196"/>
    <w:rsid w:val="00EC129F"/>
    <w:rsid w:val="00EC1BBA"/>
    <w:rsid w:val="00EC28A7"/>
    <w:rsid w:val="00ED52FB"/>
    <w:rsid w:val="00EE12AC"/>
    <w:rsid w:val="00EE3236"/>
    <w:rsid w:val="00EF15BA"/>
    <w:rsid w:val="00EF2489"/>
    <w:rsid w:val="00EF3316"/>
    <w:rsid w:val="00EF473B"/>
    <w:rsid w:val="00EF513E"/>
    <w:rsid w:val="00F0548D"/>
    <w:rsid w:val="00F1007E"/>
    <w:rsid w:val="00F13EB6"/>
    <w:rsid w:val="00F23B13"/>
    <w:rsid w:val="00F26908"/>
    <w:rsid w:val="00F32B85"/>
    <w:rsid w:val="00F3472C"/>
    <w:rsid w:val="00F34C3D"/>
    <w:rsid w:val="00F378D7"/>
    <w:rsid w:val="00F42BB9"/>
    <w:rsid w:val="00F51B9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5FBFB"/>
  <w15:docId w15:val="{031C38D4-341A-4F8C-B1D7-11DDF33C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248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FootnoteText">
    <w:name w:val="footnote text"/>
    <w:basedOn w:val="Normal"/>
    <w:link w:val="FootnoteTextChar"/>
    <w:uiPriority w:val="99"/>
    <w:rsid w:val="00EF2489"/>
    <w:pPr>
      <w:spacing w:after="0" w:line="240" w:lineRule="auto"/>
    </w:pPr>
    <w:rPr>
      <w:sz w:val="20"/>
      <w:szCs w:val="20"/>
    </w:rPr>
  </w:style>
  <w:style w:type="character" w:customStyle="1" w:styleId="FootnoteTextChar">
    <w:name w:val="Footnote Text Char"/>
    <w:basedOn w:val="DefaultParagraphFont"/>
    <w:link w:val="FootnoteText"/>
    <w:uiPriority w:val="99"/>
    <w:rsid w:val="00EF2489"/>
    <w:rPr>
      <w:rFonts w:ascii="Calibri" w:eastAsia="Calibri" w:hAnsi="Calibri"/>
    </w:rPr>
  </w:style>
  <w:style w:type="character" w:styleId="FootnoteReference">
    <w:name w:val="footnote reference"/>
    <w:basedOn w:val="DefaultParagraphFont"/>
    <w:uiPriority w:val="99"/>
    <w:rsid w:val="00EF2489"/>
    <w:rPr>
      <w:rFonts w:cs="Times New Roman"/>
      <w:vertAlign w:val="superscript"/>
    </w:rPr>
  </w:style>
  <w:style w:type="paragraph" w:styleId="BalloonText">
    <w:name w:val="Balloon Text"/>
    <w:basedOn w:val="Normal"/>
    <w:link w:val="BalloonTextChar"/>
    <w:rsid w:val="009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17100"/>
    <w:rPr>
      <w:rFonts w:ascii="Tahoma" w:eastAsia="Calibri" w:hAnsi="Tahoma" w:cs="Tahoma"/>
      <w:sz w:val="16"/>
      <w:szCs w:val="16"/>
    </w:rPr>
  </w:style>
  <w:style w:type="paragraph" w:styleId="ListParagraph">
    <w:name w:val="List Paragraph"/>
    <w:basedOn w:val="Normal"/>
    <w:uiPriority w:val="34"/>
    <w:qFormat/>
    <w:rsid w:val="007F6E06"/>
    <w:pPr>
      <w:ind w:left="720"/>
      <w:contextualSpacing/>
    </w:pPr>
  </w:style>
  <w:style w:type="paragraph" w:styleId="Caption">
    <w:name w:val="caption"/>
    <w:basedOn w:val="Normal"/>
    <w:next w:val="Normal"/>
    <w:unhideWhenUsed/>
    <w:qFormat/>
    <w:rsid w:val="00811857"/>
    <w:pPr>
      <w:spacing w:line="240" w:lineRule="auto"/>
    </w:pPr>
    <w:rPr>
      <w:b/>
      <w:bCs/>
      <w:color w:val="4F81BD" w:themeColor="accent1"/>
      <w:sz w:val="18"/>
      <w:szCs w:val="18"/>
    </w:rPr>
  </w:style>
  <w:style w:type="paragraph" w:styleId="NormalWeb">
    <w:name w:val="Normal (Web)"/>
    <w:basedOn w:val="Normal"/>
    <w:uiPriority w:val="99"/>
    <w:unhideWhenUsed/>
    <w:rsid w:val="002E5D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acita\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BF79E-6A31-49A0-9E37-F8457AEC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0</TotalTime>
  <Pages>8</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Week Six: Trends in Adult Learning Settings</vt:lpstr>
    </vt:vector>
  </TitlesOfParts>
  <Company>Apollogroup</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Six: Trends in Adult Learning Settings</dc:title>
  <dc:subject>Paper Formatter</dc:subject>
  <dc:creator>Felicia L. Jones-Shaw</dc:creator>
  <cp:lastModifiedBy>Felicia Jones-Shaw</cp:lastModifiedBy>
  <cp:revision>2</cp:revision>
  <dcterms:created xsi:type="dcterms:W3CDTF">2016-08-20T17:08:00Z</dcterms:created>
  <dcterms:modified xsi:type="dcterms:W3CDTF">2016-08-20T17:08:00Z</dcterms:modified>
  <cp:category>School Papers</cp:category>
</cp:coreProperties>
</file>